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5C1C4E" w14:paraId="33185A7E" w14:textId="77777777" w:rsidTr="007E1D85">
        <w:tc>
          <w:tcPr>
            <w:tcW w:w="5211" w:type="dxa"/>
            <w:hideMark/>
          </w:tcPr>
          <w:p w14:paraId="486A70AA" w14:textId="77777777" w:rsidR="007E1D85" w:rsidRPr="008330E7" w:rsidRDefault="007E1D85" w:rsidP="00536588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36710B64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  <w:t>УТВЕРЖДЕНА</w:t>
            </w:r>
          </w:p>
          <w:p w14:paraId="29CEC8CE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Приказом Председателя </w:t>
            </w:r>
          </w:p>
          <w:p w14:paraId="7CFA59A1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РГУ «Комитет </w:t>
            </w:r>
            <w:r w:rsidRPr="00084813">
              <w:rPr>
                <w:rFonts w:ascii="Times New Roman" w:eastAsiaTheme="minorHAnsi" w:hAnsi="Times New Roman"/>
                <w:sz w:val="28"/>
                <w:szCs w:val="28"/>
              </w:rPr>
              <w:t xml:space="preserve"> медицинского и фармацевтического контроля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Министерства здравоохранения </w:t>
            </w:r>
          </w:p>
          <w:p w14:paraId="2B4D6AAD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Республики Казахстан»</w:t>
            </w:r>
          </w:p>
          <w:p w14:paraId="54024BFC" w14:textId="3AB8A9D5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от «</w:t>
            </w:r>
            <w:proofErr w:type="gramStart"/>
            <w:r w:rsidR="00F23450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03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»</w:t>
            </w:r>
            <w:r w:rsidR="00F23450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 02</w:t>
            </w:r>
            <w:proofErr w:type="gramEnd"/>
            <w:r w:rsidR="00F23450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20</w:t>
            </w:r>
            <w:r w:rsidR="00F23450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25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г.</w:t>
            </w:r>
          </w:p>
          <w:p w14:paraId="7729D3EA" w14:textId="2B489665" w:rsidR="00084813" w:rsidRPr="00084813" w:rsidRDefault="00084813" w:rsidP="00084813">
            <w:pPr>
              <w:suppressAutoHyphens/>
              <w:autoSpaceDE w:val="0"/>
              <w:autoSpaceDN w:val="0"/>
              <w:spacing w:before="120" w:after="0" w:line="240" w:lineRule="auto"/>
              <w:ind w:left="-108" w:right="386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№</w:t>
            </w:r>
            <w:r w:rsidR="00F23450" w:rsidRPr="00F23450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N083405</w:t>
            </w:r>
          </w:p>
          <w:p w14:paraId="1AB3C241" w14:textId="77777777" w:rsidR="00523D82" w:rsidRPr="00746FF2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D2FF008" w14:textId="77777777" w:rsidR="00523D82" w:rsidRPr="00746FF2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5C1C4E" w14:paraId="3E5CBD20" w14:textId="77777777" w:rsidTr="007E1D85">
        <w:tc>
          <w:tcPr>
            <w:tcW w:w="5211" w:type="dxa"/>
          </w:tcPr>
          <w:p w14:paraId="485469B7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968786E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7E103D4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5C1C4E" w14:paraId="0B017E5D" w14:textId="77777777" w:rsidTr="007E1D85">
        <w:trPr>
          <w:trHeight w:val="80"/>
        </w:trPr>
        <w:tc>
          <w:tcPr>
            <w:tcW w:w="5211" w:type="dxa"/>
          </w:tcPr>
          <w:p w14:paraId="06D037B1" w14:textId="77777777" w:rsidR="00523D82" w:rsidRPr="00746FF2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CF52437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37B448B" w14:textId="77777777" w:rsidR="00523D82" w:rsidRPr="00746FF2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3595E8C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268CF382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0866831E" w14:textId="77777777" w:rsidR="002C76D7" w:rsidRPr="00844CE8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C0D4E9" w14:textId="77777777" w:rsidR="002C76D7" w:rsidRPr="00844CE8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3B4E5A2" w14:textId="77777777" w:rsidR="002C76D7" w:rsidRDefault="0053658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536588">
        <w:rPr>
          <w:rFonts w:ascii="Times New Roman" w:eastAsia="Times New Roman" w:hAnsi="Times New Roman"/>
          <w:bCs/>
          <w:sz w:val="28"/>
          <w:szCs w:val="28"/>
          <w:lang w:eastAsia="ru-RU"/>
        </w:rPr>
        <w:t>Пантопразол</w:t>
      </w:r>
      <w:proofErr w:type="spellEnd"/>
    </w:p>
    <w:p w14:paraId="4DDA3C69" w14:textId="77777777" w:rsidR="00536588" w:rsidRPr="00536588" w:rsidRDefault="0053658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84C69B3" w14:textId="77777777" w:rsidR="002C76D7" w:rsidRPr="00844CE8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367FE4E6" w14:textId="77777777" w:rsidR="002C76D7" w:rsidRDefault="0053658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536588">
        <w:rPr>
          <w:rFonts w:ascii="Times New Roman" w:eastAsia="Times New Roman" w:hAnsi="Times New Roman"/>
          <w:bCs/>
          <w:sz w:val="28"/>
          <w:szCs w:val="28"/>
          <w:lang w:eastAsia="ru-RU"/>
        </w:rPr>
        <w:t>Пантопразол</w:t>
      </w:r>
      <w:proofErr w:type="spellEnd"/>
    </w:p>
    <w:p w14:paraId="637D2278" w14:textId="77777777" w:rsidR="00536588" w:rsidRPr="00536588" w:rsidRDefault="0053658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2A04A68" w14:textId="77777777" w:rsidR="00D76048" w:rsidRPr="00844CE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6A535870" w14:textId="77777777" w:rsidR="00B01011" w:rsidRDefault="0053658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36588">
        <w:rPr>
          <w:rFonts w:ascii="Times New Roman" w:eastAsia="Times New Roman" w:hAnsi="Times New Roman"/>
          <w:sz w:val="28"/>
          <w:szCs w:val="28"/>
          <w:lang w:eastAsia="ru-RU"/>
        </w:rPr>
        <w:t>орошок для приготовления раствора для инъекций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40 мг</w:t>
      </w:r>
    </w:p>
    <w:p w14:paraId="1A74A6AB" w14:textId="77777777" w:rsidR="00536588" w:rsidRPr="00844CE8" w:rsidRDefault="0053658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2AA9C5" w14:textId="77777777" w:rsidR="002C1660" w:rsidRPr="00844CE8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67BF8E28" w14:textId="77777777" w:rsidR="008C6E88" w:rsidRPr="008C6E88" w:rsidRDefault="008C6E88" w:rsidP="008C6E8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</w:pPr>
      <w:r w:rsidRPr="008C6E88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>Препараты для лечения заболеваний, связанных с нарушением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 </w:t>
      </w:r>
      <w:r w:rsidRPr="008C6E88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>кислотности. Противоязвенные препараты и препараты для лечения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 </w:t>
      </w:r>
      <w:r w:rsidRPr="008C6E88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>гастроэзофагеальной рефлюксной болезни (gastro-oesophageal reflux disease</w:t>
      </w:r>
    </w:p>
    <w:p w14:paraId="3ABD7916" w14:textId="77777777" w:rsidR="008C6E88" w:rsidRPr="008C6E88" w:rsidRDefault="008C6E88" w:rsidP="008C6E8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</w:pPr>
      <w:r w:rsidRPr="008C6E88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>– GORD). Протонного насоса ингибиторы. Пантопразол.</w:t>
      </w:r>
    </w:p>
    <w:p w14:paraId="11DB11B1" w14:textId="77777777" w:rsidR="002C76D7" w:rsidRDefault="008C6E88" w:rsidP="008C6E8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</w:pPr>
      <w:r w:rsidRPr="008C6E88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>Код ATХ А02ВС02</w:t>
      </w:r>
    </w:p>
    <w:p w14:paraId="1C427ED5" w14:textId="77777777" w:rsidR="008C6E88" w:rsidRPr="00844CE8" w:rsidRDefault="008C6E88" w:rsidP="008C6E8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E086874" w14:textId="77777777" w:rsidR="002C76D7" w:rsidRPr="00844CE8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  <w:highlight w:val="cyan"/>
        </w:rPr>
      </w:pPr>
      <w:r w:rsidRPr="00844C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844CE8">
        <w:rPr>
          <w:rFonts w:ascii="Times New Roman" w:hAnsi="Times New Roman"/>
          <w:color w:val="000000"/>
          <w:sz w:val="32"/>
          <w:szCs w:val="32"/>
          <w:highlight w:val="cyan"/>
        </w:rPr>
        <w:t xml:space="preserve"> </w:t>
      </w:r>
    </w:p>
    <w:p w14:paraId="639BF105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588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536588">
        <w:rPr>
          <w:rFonts w:ascii="Times New Roman" w:hAnsi="Times New Roman"/>
          <w:color w:val="000000"/>
          <w:sz w:val="28"/>
          <w:szCs w:val="28"/>
        </w:rPr>
        <w:t>гастроэзофагеальная</w:t>
      </w:r>
      <w:proofErr w:type="spellEnd"/>
      <w:r w:rsidRPr="005365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6588">
        <w:rPr>
          <w:rFonts w:ascii="Times New Roman" w:hAnsi="Times New Roman"/>
          <w:color w:val="000000"/>
          <w:sz w:val="28"/>
          <w:szCs w:val="28"/>
        </w:rPr>
        <w:t>рефлюксная</w:t>
      </w:r>
      <w:proofErr w:type="spellEnd"/>
      <w:r w:rsidRPr="00536588">
        <w:rPr>
          <w:rFonts w:ascii="Times New Roman" w:hAnsi="Times New Roman"/>
          <w:color w:val="000000"/>
          <w:sz w:val="28"/>
          <w:szCs w:val="28"/>
        </w:rPr>
        <w:t xml:space="preserve"> болезнь (ГЭРБ)</w:t>
      </w:r>
    </w:p>
    <w:p w14:paraId="707A4692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588">
        <w:rPr>
          <w:rFonts w:ascii="Times New Roman" w:hAnsi="Times New Roman"/>
          <w:color w:val="000000"/>
          <w:sz w:val="28"/>
          <w:szCs w:val="28"/>
        </w:rPr>
        <w:t>- язва желудка и двенадцатиперстной кишки</w:t>
      </w:r>
    </w:p>
    <w:p w14:paraId="1DF2559D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588">
        <w:rPr>
          <w:rFonts w:ascii="Times New Roman" w:hAnsi="Times New Roman"/>
          <w:color w:val="000000"/>
          <w:sz w:val="28"/>
          <w:szCs w:val="28"/>
        </w:rPr>
        <w:t>-</w:t>
      </w:r>
      <w:r w:rsidR="001010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588">
        <w:rPr>
          <w:rFonts w:ascii="Times New Roman" w:hAnsi="Times New Roman"/>
          <w:color w:val="000000"/>
          <w:sz w:val="28"/>
          <w:szCs w:val="28"/>
        </w:rPr>
        <w:t xml:space="preserve">синдром </w:t>
      </w:r>
      <w:proofErr w:type="spellStart"/>
      <w:r w:rsidRPr="00536588">
        <w:rPr>
          <w:rFonts w:ascii="Times New Roman" w:hAnsi="Times New Roman"/>
          <w:color w:val="000000"/>
          <w:sz w:val="28"/>
          <w:szCs w:val="28"/>
        </w:rPr>
        <w:t>Золлингера</w:t>
      </w:r>
      <w:proofErr w:type="spellEnd"/>
      <w:r w:rsidRPr="00536588">
        <w:rPr>
          <w:rFonts w:ascii="Times New Roman" w:hAnsi="Times New Roman"/>
          <w:color w:val="000000"/>
          <w:sz w:val="28"/>
          <w:szCs w:val="28"/>
        </w:rPr>
        <w:t xml:space="preserve">-Эллисона и другие патологические </w:t>
      </w:r>
      <w:proofErr w:type="spellStart"/>
      <w:r w:rsidRPr="00536588">
        <w:rPr>
          <w:rFonts w:ascii="Times New Roman" w:hAnsi="Times New Roman"/>
          <w:color w:val="000000"/>
          <w:sz w:val="28"/>
          <w:szCs w:val="28"/>
        </w:rPr>
        <w:t>гиперсекреторные</w:t>
      </w:r>
      <w:proofErr w:type="spellEnd"/>
      <w:r w:rsidRPr="00536588">
        <w:rPr>
          <w:rFonts w:ascii="Times New Roman" w:hAnsi="Times New Roman"/>
          <w:color w:val="000000"/>
          <w:sz w:val="28"/>
          <w:szCs w:val="28"/>
        </w:rPr>
        <w:t xml:space="preserve"> состояния</w:t>
      </w:r>
    </w:p>
    <w:p w14:paraId="74CB2433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38B343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0A41D933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1B36346C" w14:textId="77777777" w:rsidR="00536588" w:rsidRDefault="00536588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6588">
        <w:rPr>
          <w:rFonts w:ascii="Times New Roman" w:hAnsi="Times New Roman"/>
          <w:sz w:val="28"/>
          <w:szCs w:val="28"/>
        </w:rPr>
        <w:t xml:space="preserve">- гиперчувствительность к действующему веществу (веществам) или к любому из вспомогательных веществ, перечисленных в разделе </w:t>
      </w:r>
      <w:r>
        <w:rPr>
          <w:rFonts w:ascii="Times New Roman" w:hAnsi="Times New Roman"/>
          <w:sz w:val="28"/>
          <w:szCs w:val="28"/>
        </w:rPr>
        <w:t>«Состав»</w:t>
      </w:r>
    </w:p>
    <w:p w14:paraId="0985E43C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709192D5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</w:rPr>
      </w:pPr>
      <w:r w:rsidRPr="00536588">
        <w:rPr>
          <w:rFonts w:ascii="Times New Roman" w:hAnsi="Times New Roman"/>
          <w:i/>
          <w:iCs/>
          <w:color w:val="000000"/>
          <w:sz w:val="28"/>
          <w:szCs w:val="24"/>
        </w:rPr>
        <w:t xml:space="preserve">Лекарственные средства с фармакокинетикой абсорбции, зависящей от </w:t>
      </w:r>
      <w:proofErr w:type="spellStart"/>
      <w:r w:rsidRPr="00536588">
        <w:rPr>
          <w:rFonts w:ascii="Times New Roman" w:hAnsi="Times New Roman"/>
          <w:i/>
          <w:iCs/>
          <w:color w:val="000000"/>
          <w:sz w:val="28"/>
          <w:szCs w:val="24"/>
        </w:rPr>
        <w:t>pH</w:t>
      </w:r>
      <w:proofErr w:type="spellEnd"/>
    </w:p>
    <w:p w14:paraId="1BBAE8B2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lastRenderedPageBreak/>
        <w:t xml:space="preserve">Из-за глубокого и длительного ингибирования секреции желудочной кислоты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пантопразол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может снижать всасывание других лекарственных средств, для которых рН желудка является важным фактором, определяющим биодоступность при пероральном приеме, например, некоторых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азольных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противогрибковых средств, таких как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кетоконазол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итраконазол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позаконазол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и других лекарств, таких как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эрлотиниб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>.</w:t>
      </w:r>
    </w:p>
    <w:p w14:paraId="6C7DBD1E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</w:rPr>
      </w:pPr>
      <w:r w:rsidRPr="00536588">
        <w:rPr>
          <w:rFonts w:ascii="Times New Roman" w:hAnsi="Times New Roman"/>
          <w:i/>
          <w:iCs/>
          <w:color w:val="000000"/>
          <w:sz w:val="28"/>
          <w:szCs w:val="24"/>
        </w:rPr>
        <w:t>Ингибиторы протеазы ВИЧ</w:t>
      </w:r>
    </w:p>
    <w:p w14:paraId="2ECD1A8A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 xml:space="preserve">Не рекомендуется одновременное применение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пантопразола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с ингибиторами протеазы ВИЧ, абсорбция которых зависит от кислого внутрижелудочного рН, такими как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атазанавир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>, из-за значительного снижения их биодоступности (см. раздел 4.3).</w:t>
      </w:r>
    </w:p>
    <w:p w14:paraId="0D7FF6AE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 xml:space="preserve">Если комбинация ингибиторов протеазы ВИЧ с ингибитором протонной помпы признана неизбежной, рекомендуется тщательный клинический мониторинг (например, определение вирусной нагрузки). Не следует превышать дозу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пантопразола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20 мг в сутки. Возможно, потребуется корректировка дозы ингибитора протеазы ВИЧ.</w:t>
      </w:r>
    </w:p>
    <w:p w14:paraId="01271CD3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</w:rPr>
      </w:pPr>
      <w:proofErr w:type="spellStart"/>
      <w:r w:rsidRPr="00536588">
        <w:rPr>
          <w:rFonts w:ascii="Times New Roman" w:hAnsi="Times New Roman"/>
          <w:i/>
          <w:iCs/>
          <w:color w:val="000000"/>
          <w:sz w:val="28"/>
          <w:szCs w:val="24"/>
        </w:rPr>
        <w:t>Кумариновые</w:t>
      </w:r>
      <w:proofErr w:type="spellEnd"/>
      <w:r w:rsidRPr="00536588">
        <w:rPr>
          <w:rFonts w:ascii="Times New Roman" w:hAnsi="Times New Roman"/>
          <w:i/>
          <w:iCs/>
          <w:color w:val="000000"/>
          <w:sz w:val="28"/>
          <w:szCs w:val="24"/>
        </w:rPr>
        <w:t xml:space="preserve"> антикоагулянты (</w:t>
      </w:r>
      <w:proofErr w:type="spellStart"/>
      <w:r w:rsidRPr="00536588">
        <w:rPr>
          <w:rFonts w:ascii="Times New Roman" w:hAnsi="Times New Roman"/>
          <w:i/>
          <w:iCs/>
          <w:color w:val="000000"/>
          <w:sz w:val="28"/>
          <w:szCs w:val="24"/>
        </w:rPr>
        <w:t>фенпрокумон</w:t>
      </w:r>
      <w:proofErr w:type="spellEnd"/>
      <w:r w:rsidRPr="00536588">
        <w:rPr>
          <w:rFonts w:ascii="Times New Roman" w:hAnsi="Times New Roman"/>
          <w:i/>
          <w:iCs/>
          <w:color w:val="000000"/>
          <w:sz w:val="28"/>
          <w:szCs w:val="24"/>
        </w:rPr>
        <w:t xml:space="preserve"> или варфарин)</w:t>
      </w:r>
    </w:p>
    <w:p w14:paraId="54897330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 xml:space="preserve">Совместное применение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пантопразола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с варфарином или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фенпрокумоном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не влияло на фармакокинетику варфарина,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фенопрокумона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или МНО. Однако были сообщения об увеличении МНО и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протромбинового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времени у пациентов, одновременно получавших ИПП и варфарин или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фенопрокумон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. Увеличение МНО и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протромбинового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времени может привести к аномальному кровотечению и даже смерти. У пациентов, получающих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пантопразол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и варфарин или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фенпрокумон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, может потребоваться наблюдение на предмет увеличения МНО и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протромбинового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времени.</w:t>
      </w:r>
    </w:p>
    <w:p w14:paraId="3814DC8B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</w:rPr>
      </w:pPr>
      <w:r w:rsidRPr="00536588">
        <w:rPr>
          <w:rFonts w:ascii="Times New Roman" w:hAnsi="Times New Roman"/>
          <w:i/>
          <w:iCs/>
          <w:color w:val="000000"/>
          <w:sz w:val="28"/>
          <w:szCs w:val="24"/>
        </w:rPr>
        <w:t>Метотрексат</w:t>
      </w:r>
    </w:p>
    <w:p w14:paraId="135D9937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 xml:space="preserve">Сообщалось, что одновременное применение высоких доз метотрексата (например, 300 мг) и ингибиторов протонной помпы приводит к повышению уровня метотрексата у некоторых пациентов. Поэтому в условиях, когда используются высокие дозы метотрексата, например, при раке и псориазе, может потребоваться временная отмена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пантопразола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>.</w:t>
      </w:r>
    </w:p>
    <w:p w14:paraId="08CB88DC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</w:rPr>
      </w:pPr>
      <w:r w:rsidRPr="00536588">
        <w:rPr>
          <w:rFonts w:ascii="Times New Roman" w:hAnsi="Times New Roman"/>
          <w:i/>
          <w:iCs/>
          <w:color w:val="000000"/>
          <w:sz w:val="28"/>
          <w:szCs w:val="24"/>
        </w:rPr>
        <w:t>Другие исследования взаимодействия</w:t>
      </w:r>
    </w:p>
    <w:p w14:paraId="034E040B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Пантопразол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интенсивно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метаболизируется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в печени посредством ферментной системы цитохрома Р450. Основным метаболическим путем является деметилирование с помощью CYP2C19, а другие метаболические пути включают окисление с помощью CYP3A4.</w:t>
      </w:r>
    </w:p>
    <w:p w14:paraId="62FDBC3D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 xml:space="preserve">Исследования взаимодействия с лекарственными средствами, также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метаболизирующимися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этими путями, такими как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карбамазепин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, диазепам,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глибенкламид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нифедипин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и пероральные контрацептивы, содержащие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левоноргестрел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и этинилэстрадиол, не выявили клинически значимых взаимодействий.</w:t>
      </w:r>
    </w:p>
    <w:p w14:paraId="3B2B4A60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lastRenderedPageBreak/>
        <w:t xml:space="preserve">Результаты ряда исследований взаимодействия показывают, что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пантопразол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не влияет на метаболизм активных веществ,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метаболизируемых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CYP1A2 (таких как кофеин, теофиллин), CYP2C9 (таких как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пироксикам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, диклофенак,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напроксен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), CYP2D6 (таких как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метопролол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>), CYP2E1 (таких как как этанол) или не влияет на абсорбцию дигоксина, связанную с p-гликопротеином.</w:t>
      </w:r>
    </w:p>
    <w:p w14:paraId="06D12A08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>Взаимодействия с одновременно назначаемыми антацидами не наблюдалось.</w:t>
      </w:r>
    </w:p>
    <w:p w14:paraId="214630A0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 xml:space="preserve">Также проводились исследования взаимодействия при одновременном применении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пантопразола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с соответствующими антибиотиками (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кларитромицином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метронидазолом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>, амоксициллином). Клинически значимых взаимодействий обнаружено не было.</w:t>
      </w:r>
    </w:p>
    <w:p w14:paraId="1CC43B0D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</w:rPr>
      </w:pPr>
      <w:r w:rsidRPr="00536588">
        <w:rPr>
          <w:rFonts w:ascii="Times New Roman" w:hAnsi="Times New Roman"/>
          <w:i/>
          <w:iCs/>
          <w:color w:val="000000"/>
          <w:sz w:val="28"/>
          <w:szCs w:val="24"/>
        </w:rPr>
        <w:t>Лекарственные средства, ингибирующие или индуцирующие CYP2C19</w:t>
      </w:r>
    </w:p>
    <w:p w14:paraId="2F1A1BCB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 xml:space="preserve">Ингибиторы CYP2C19, такие как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флувоксамин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, могут увеличивать системное воздействие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пантопразола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. Снижение дозы может быть рассмотрено у пациентов, длительно получающих высокие дозы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пантопразола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>, или у пациентов с печеночной недостаточностью.</w:t>
      </w:r>
    </w:p>
    <w:p w14:paraId="17A90BD2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 xml:space="preserve">Индукторы ферментов, влияющие на CYP2C19 и CYP3A4, такие как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рифампицин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и зверобой продырявленный (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Hypericum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perforatum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), могут снижать концентрации ИПП в плазме, которые </w:t>
      </w: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метаболизируются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посредством этих ферментных систем.</w:t>
      </w:r>
    </w:p>
    <w:p w14:paraId="4B373F4B" w14:textId="77777777" w:rsidR="00D43297" w:rsidRPr="00844CE8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21840F71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36588">
        <w:rPr>
          <w:rFonts w:ascii="Times New Roman" w:hAnsi="Times New Roman"/>
          <w:i/>
          <w:sz w:val="28"/>
          <w:szCs w:val="28"/>
        </w:rPr>
        <w:t>Злокачественное новообразование желудка</w:t>
      </w:r>
    </w:p>
    <w:p w14:paraId="62512ACE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 xml:space="preserve">Симптоматическая реакция на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пантопразол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может маскировать симптомы злокачественного новообразования желудка и задерживать диагностику. При наличии любого тревожного симптома (например, значительной непреднамеренной потери веса, периодической рвоты, дисфагии, рвоты с кровью, анемии или мелены) и при подозрении или наличии язвы желудка следует исключить злокачественное новообразование.</w:t>
      </w:r>
    </w:p>
    <w:p w14:paraId="5EE408FC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>Если симптомы сохраняются, несмотря на адекватное лечение, необходимо рассмотреть вопрос о дальнейшем обследовании.</w:t>
      </w:r>
    </w:p>
    <w:p w14:paraId="6D3997D1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36588">
        <w:rPr>
          <w:rFonts w:ascii="Times New Roman" w:hAnsi="Times New Roman"/>
          <w:i/>
          <w:sz w:val="28"/>
          <w:szCs w:val="28"/>
        </w:rPr>
        <w:t>Печеночная недостаточность</w:t>
      </w:r>
    </w:p>
    <w:p w14:paraId="558218D2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>У пациентов с тяжелым нарушением функции печени во время терапии следует контролировать уровень печеночных ферментов. В случае повышения активности печеночных ферментов лечение следует прекратить.</w:t>
      </w:r>
    </w:p>
    <w:p w14:paraId="7AFF1FB4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36588">
        <w:rPr>
          <w:rFonts w:ascii="Times New Roman" w:hAnsi="Times New Roman"/>
          <w:i/>
          <w:sz w:val="28"/>
          <w:szCs w:val="28"/>
        </w:rPr>
        <w:t>Совместное применение с ингибиторами протеазы ВИЧ</w:t>
      </w:r>
    </w:p>
    <w:p w14:paraId="2870406B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 xml:space="preserve">Не рекомендуется одновременное применение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пантопразола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с ингибиторами протеазы ВИЧ, абсорбция которых зависит от кислого внутрижелудочного рН, такими как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атазанавир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>, из-за значительного снижения их биодоступности.</w:t>
      </w:r>
    </w:p>
    <w:p w14:paraId="7563FE71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36588">
        <w:rPr>
          <w:rFonts w:ascii="Times New Roman" w:hAnsi="Times New Roman"/>
          <w:i/>
          <w:sz w:val="28"/>
          <w:szCs w:val="28"/>
        </w:rPr>
        <w:t>Комбинированная терапия</w:t>
      </w:r>
    </w:p>
    <w:p w14:paraId="18253063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lastRenderedPageBreak/>
        <w:t>В случае комбинированной терапии следует учитывать краткие характеристики соответствующих лекарственных средств.</w:t>
      </w:r>
    </w:p>
    <w:p w14:paraId="65BDF8D7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36588">
        <w:rPr>
          <w:rFonts w:ascii="Times New Roman" w:hAnsi="Times New Roman"/>
          <w:i/>
          <w:sz w:val="28"/>
          <w:szCs w:val="28"/>
        </w:rPr>
        <w:t>Влияние на всасывание витамина B12</w:t>
      </w:r>
    </w:p>
    <w:p w14:paraId="440036C2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 xml:space="preserve">У пациентов с синдромом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Золлингера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-Эллисона и другими патологическими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гиперсекреторными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состояниями, требующими длительного лечения,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пантопразол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, как и все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кислотоблокирующие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средства, может снижать всасывание витамина В12 (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цианокобаламина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) вследствие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гипо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- или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ахлоргидрии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>. Это следует учитывать у пациентов с уменьшенными запасами витамина B12 в организме или факторами риска снижения абсорбции витамина B12 при длительной терапии или при наличии соответствующих клинических симптомов.</w:t>
      </w:r>
    </w:p>
    <w:p w14:paraId="57418478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36588">
        <w:rPr>
          <w:rFonts w:ascii="Times New Roman" w:hAnsi="Times New Roman"/>
          <w:i/>
          <w:sz w:val="28"/>
          <w:szCs w:val="28"/>
        </w:rPr>
        <w:t>Желудочно-кишечные инфекции, вызванные бактериями</w:t>
      </w:r>
    </w:p>
    <w:p w14:paraId="0783E130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 xml:space="preserve">Можно ожидать, что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пантопразол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, как и все ингибиторы протонной помпы (ИПП), увеличит количество бактерий, обычно присутствующих в верхних отделах желудочно-кишечного тракта. Лечение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пантопразолом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может привести к несколько повышенному риску желудочно-кишечных инфекций, вызванных такими бактериями, как сальмонелла и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кампилобактерия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>.</w:t>
      </w:r>
    </w:p>
    <w:p w14:paraId="6962AFFF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36588">
        <w:rPr>
          <w:rFonts w:ascii="Times New Roman" w:hAnsi="Times New Roman"/>
          <w:i/>
          <w:sz w:val="28"/>
          <w:szCs w:val="28"/>
        </w:rPr>
        <w:t>Натрий</w:t>
      </w:r>
    </w:p>
    <w:p w14:paraId="0A06C75F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>Данный лекарственный препарат содержит менее 1 ммоль натрия на флакон, то есть практически не содержит натрия.</w:t>
      </w:r>
    </w:p>
    <w:p w14:paraId="411B330C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536588">
        <w:rPr>
          <w:rFonts w:ascii="Times New Roman" w:hAnsi="Times New Roman"/>
          <w:i/>
          <w:sz w:val="28"/>
          <w:szCs w:val="28"/>
        </w:rPr>
        <w:t>Гипомагниемия</w:t>
      </w:r>
      <w:proofErr w:type="spellEnd"/>
    </w:p>
    <w:p w14:paraId="4B821B4A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 xml:space="preserve">Сообщалось о тяжелой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гипомагниемии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у пациентов, принимавших ИПП, такие как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пантопразол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, в течение как минимум трех месяцев, а в большинстве случаев - года. Могут возникнуть серьезные проявления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гипомагниемии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, такие как утомляемость, тетания, делирий, судороги, головокружение и желудочковая аритмия, но они могут начаться незаметно и остаться незамеченными. У большинства больных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гипомагниемия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улучшилась после замены магния и прекращения приема ИПП.</w:t>
      </w:r>
    </w:p>
    <w:p w14:paraId="595DCE1B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 xml:space="preserve">У пациентов, которые, как ожидается, будут находиться на длительном лечении или которые принимают ИПП с дигоксином или препараты, которые могут вызвать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гипомагниемию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(например, диуретики), медицинские работники должны рассмотреть возможность измерения уровня магния перед началом лечения ИПП и периодически во время лечения.</w:t>
      </w:r>
    </w:p>
    <w:p w14:paraId="7EB8D50B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36588">
        <w:rPr>
          <w:rFonts w:ascii="Times New Roman" w:hAnsi="Times New Roman"/>
          <w:i/>
          <w:sz w:val="28"/>
          <w:szCs w:val="28"/>
        </w:rPr>
        <w:t>Переломы костей</w:t>
      </w:r>
    </w:p>
    <w:p w14:paraId="13D21523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 xml:space="preserve">Ингибиторы протонной помпы, особенно при использовании в высоких дозах и в течение длительного времени (&gt;1 года), могут незначительно повышать риск переломов бедра, запястья и позвоночника, преимущественно у пожилых людей или при наличии других известных факторов риска. Наблюдательные исследования показывают, что ингибиторы протонной помпы могут увеличить общий риск переломов на </w:t>
      </w:r>
      <w:r w:rsidRPr="00536588">
        <w:rPr>
          <w:rFonts w:ascii="Times New Roman" w:hAnsi="Times New Roman"/>
          <w:iCs/>
          <w:sz w:val="28"/>
          <w:szCs w:val="28"/>
        </w:rPr>
        <w:lastRenderedPageBreak/>
        <w:t>10–40%. Частично это увеличение может быть связано с другими факторами риска. Пациенты с риском развития остеопороза должны получать помощь в соответствии с действующими клиническими рекомендациями и получать достаточное количество витамина D и кальция.</w:t>
      </w:r>
    </w:p>
    <w:p w14:paraId="7D81A937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36588">
        <w:rPr>
          <w:rFonts w:ascii="Times New Roman" w:hAnsi="Times New Roman"/>
          <w:i/>
          <w:sz w:val="28"/>
          <w:szCs w:val="28"/>
        </w:rPr>
        <w:t>Подострая кожная красная волчанка (ПККВ)</w:t>
      </w:r>
    </w:p>
    <w:p w14:paraId="7245AA73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 xml:space="preserve">Ингибиторы протонной помпы связаны с очень редкими случаями ПККВ. При возникновении поражений, особенно на участках кожи, подверженных воздействию солнечных лучей, и сопровождающихся артралгией, пациенту следует немедленно обратиться за медицинской помощью, а медицинский работник должен рассмотреть вопрос об отмене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пантопразола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>. ПККВ после предыдущего лечения ингибитором протонной помпы может увеличить риск ПККВ при применении других ингибиторов протонной помпы.</w:t>
      </w:r>
    </w:p>
    <w:p w14:paraId="75A8E733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36588">
        <w:rPr>
          <w:rFonts w:ascii="Times New Roman" w:hAnsi="Times New Roman"/>
          <w:i/>
          <w:sz w:val="28"/>
          <w:szCs w:val="28"/>
        </w:rPr>
        <w:t>Вмешательство в лабораторные анализы</w:t>
      </w:r>
    </w:p>
    <w:p w14:paraId="6BBA7F3E" w14:textId="77777777" w:rsidR="00536588" w:rsidRPr="00536588" w:rsidRDefault="00536588" w:rsidP="00844CE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 xml:space="preserve">Повышенный уровень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хромогранина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А (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CgA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) может мешать исследованиям нейроэндокринных опухолей. Чтобы избежать этого влияния, лечение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пантопразолом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следует прекратить как минимум за 5 дней до измерения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CgA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. Если уровни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CgA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и гастрина не вернулись к нормальным значениям после первоначального измерения, измерения следует повторить через 14 дней после прекращения лечения ингибиторами протонной помпы.</w:t>
      </w:r>
    </w:p>
    <w:p w14:paraId="6CB06721" w14:textId="77777777" w:rsidR="00D43297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467155B3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 xml:space="preserve">Умеренное количество данных о беременных женщинах (от 300 до 1000 исходов беременности) указывает на отсутствие пороков развития или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фето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/неонатальной токсичности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пантопразола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в дозе 40 мг в виде порошка для раствора для инъекций.</w:t>
      </w:r>
    </w:p>
    <w:p w14:paraId="04F17F7C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>Исследования на животных показали репродуктивную токсичность.</w:t>
      </w:r>
    </w:p>
    <w:p w14:paraId="3FB46827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 xml:space="preserve">В качестве меры предосторожности предпочтительно избегать применения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пантопразола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во время беременности.</w:t>
      </w:r>
    </w:p>
    <w:p w14:paraId="070C6B2D" w14:textId="77777777" w:rsidR="00536588" w:rsidRPr="00536588" w:rsidRDefault="00536588" w:rsidP="00844CE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36588">
        <w:rPr>
          <w:rFonts w:ascii="Times New Roman" w:hAnsi="Times New Roman"/>
          <w:iCs/>
          <w:sz w:val="28"/>
          <w:szCs w:val="28"/>
        </w:rPr>
        <w:t xml:space="preserve">Исследования на животных показали выделение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пантопразола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с грудным молоком. Информации о выделении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пантопразола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в грудное молоко недостаточно, однако сообщалось об экскреции в грудное молоко. Нельзя исключить риск для новорожденных/младенцев. Поэтому решение о прекращении грудного вскармливания или прекращении/воздержании от терапии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пантопразолом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должно принимать во внимание пользу грудного вскармливания для ребенка и пользу терапии </w:t>
      </w:r>
      <w:proofErr w:type="spellStart"/>
      <w:r w:rsidRPr="00536588">
        <w:rPr>
          <w:rFonts w:ascii="Times New Roman" w:hAnsi="Times New Roman"/>
          <w:iCs/>
          <w:sz w:val="28"/>
          <w:szCs w:val="28"/>
        </w:rPr>
        <w:t>пантопразолом</w:t>
      </w:r>
      <w:proofErr w:type="spellEnd"/>
      <w:r w:rsidRPr="00536588">
        <w:rPr>
          <w:rFonts w:ascii="Times New Roman" w:hAnsi="Times New Roman"/>
          <w:iCs/>
          <w:sz w:val="28"/>
          <w:szCs w:val="28"/>
        </w:rPr>
        <w:t xml:space="preserve"> для женщины.</w:t>
      </w:r>
    </w:p>
    <w:p w14:paraId="02784A02" w14:textId="77777777" w:rsidR="00FA4F7C" w:rsidRPr="00844CE8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5BBBEC17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6588">
        <w:rPr>
          <w:rFonts w:ascii="Times New Roman" w:eastAsia="Times New Roman" w:hAnsi="Times New Roman"/>
          <w:bCs/>
          <w:sz w:val="28"/>
          <w:szCs w:val="28"/>
          <w:lang w:eastAsia="ru-RU"/>
        </w:rPr>
        <w:t>Могут возникнуть побочные реакции на препарат, такие как головокружение и нарушения зрения. В случае поражения пациентам не следует водить машину или работать с механизмами.</w:t>
      </w:r>
    </w:p>
    <w:p w14:paraId="535D257E" w14:textId="77777777" w:rsidR="00536588" w:rsidRPr="00844CE8" w:rsidRDefault="0053658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743C46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013919AF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" w:name="2175220274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69AF04C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bookmarkStart w:id="2" w:name="2175220275"/>
      <w:bookmarkEnd w:id="1"/>
      <w:proofErr w:type="spellStart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>Пантопразол</w:t>
      </w:r>
      <w:proofErr w:type="spellEnd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 xml:space="preserve"> должен назначаться медицинским работником и под соответствующим медицинским наблюдением.</w:t>
      </w:r>
    </w:p>
    <w:p w14:paraId="01013D0D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 xml:space="preserve">Внутривенное введение </w:t>
      </w:r>
      <w:proofErr w:type="spellStart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>Пантопразола</w:t>
      </w:r>
      <w:proofErr w:type="spellEnd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 xml:space="preserve"> рекомендуется только в том случае, если пероральный прием невозможен. Имеются данные о внутривенном применении на срок до 7 дней. Поэтому, как только станет возможной пероральная терапия, лечение </w:t>
      </w:r>
      <w:proofErr w:type="spellStart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>пантопразолом</w:t>
      </w:r>
      <w:proofErr w:type="spellEnd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 xml:space="preserve"> 40 мг в виде порошка для приготовления раствора для инъекций/инфузий следует прекратить и вместо этого назначить </w:t>
      </w:r>
      <w:proofErr w:type="spellStart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>пантопразол</w:t>
      </w:r>
      <w:proofErr w:type="spellEnd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 xml:space="preserve"> 40 мг перорально.</w:t>
      </w:r>
    </w:p>
    <w:p w14:paraId="278FC57E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32"/>
          <w:lang w:eastAsia="ru-RU"/>
        </w:rPr>
      </w:pPr>
      <w:r w:rsidRPr="00536588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 xml:space="preserve">Язва желудка и двенадцатиперстной кишки, </w:t>
      </w:r>
      <w:proofErr w:type="spellStart"/>
      <w:r w:rsidRPr="00536588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>гастроэзофагеальная</w:t>
      </w:r>
      <w:proofErr w:type="spellEnd"/>
      <w:r w:rsidRPr="00536588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 xml:space="preserve"> </w:t>
      </w:r>
      <w:proofErr w:type="spellStart"/>
      <w:r w:rsidRPr="00536588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>рефлюксная</w:t>
      </w:r>
      <w:proofErr w:type="spellEnd"/>
      <w:r w:rsidRPr="00536588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 xml:space="preserve"> болезнь (ГЭРБ)</w:t>
      </w:r>
    </w:p>
    <w:p w14:paraId="51983BF5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 xml:space="preserve">Рекомендуемая доза для внутривенного введения составляет один флакон </w:t>
      </w:r>
      <w:proofErr w:type="spellStart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>пантопразола</w:t>
      </w:r>
      <w:proofErr w:type="spellEnd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 xml:space="preserve"> (40 мг) в день.</w:t>
      </w:r>
    </w:p>
    <w:p w14:paraId="5840F6F6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32"/>
          <w:lang w:eastAsia="ru-RU"/>
        </w:rPr>
      </w:pPr>
      <w:r w:rsidRPr="00536588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 xml:space="preserve">Синдром </w:t>
      </w:r>
      <w:proofErr w:type="spellStart"/>
      <w:r w:rsidRPr="00536588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>Золлингера</w:t>
      </w:r>
      <w:proofErr w:type="spellEnd"/>
      <w:r w:rsidRPr="00536588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 xml:space="preserve">-Эллисона и другие патологические </w:t>
      </w:r>
      <w:proofErr w:type="spellStart"/>
      <w:r w:rsidRPr="00536588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>гиперсекреторные</w:t>
      </w:r>
      <w:proofErr w:type="spellEnd"/>
      <w:r w:rsidRPr="00536588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 xml:space="preserve"> состояния</w:t>
      </w:r>
    </w:p>
    <w:p w14:paraId="4F4F3281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 xml:space="preserve">Для длительного лечения синдрома </w:t>
      </w:r>
      <w:proofErr w:type="spellStart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>Золлингера</w:t>
      </w:r>
      <w:proofErr w:type="spellEnd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 xml:space="preserve">-Эллисона и других патологических </w:t>
      </w:r>
      <w:proofErr w:type="spellStart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>гиперсекреторных</w:t>
      </w:r>
      <w:proofErr w:type="spellEnd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 xml:space="preserve"> состояний пациентам следует начинать лечение с суточной дозы </w:t>
      </w:r>
      <w:proofErr w:type="spellStart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>пантопразола</w:t>
      </w:r>
      <w:proofErr w:type="spellEnd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 xml:space="preserve"> 80 мг. После этого дозу можно увеличивать или уменьшать по мере необходимости, ориентируясь на показатели секреции желудочной кислоты. При дозах выше 80 мг в день дозу следует разделить и принимать два раза в день. Временное увеличение дозы </w:t>
      </w:r>
      <w:proofErr w:type="spellStart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>пантопразола</w:t>
      </w:r>
      <w:proofErr w:type="spellEnd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 xml:space="preserve"> выше 160 мг возможно, но его не следует применять дольше, чем требуется для адекватного контроля кислотности.</w:t>
      </w:r>
    </w:p>
    <w:p w14:paraId="2C51515C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 xml:space="preserve">В случае необходимости быстрого контроля кислотности стартовой дозы </w:t>
      </w:r>
      <w:proofErr w:type="spellStart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>пантопразола</w:t>
      </w:r>
      <w:proofErr w:type="spellEnd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 xml:space="preserve"> у большинства пациентов 2 x 80 мг достаточно, чтобы добиться снижения выброса кислоты до целевого диапазона (&lt;10 </w:t>
      </w:r>
      <w:proofErr w:type="spellStart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>мэкв</w:t>
      </w:r>
      <w:proofErr w:type="spellEnd"/>
      <w:r w:rsidRPr="00536588">
        <w:rPr>
          <w:rFonts w:ascii="Times New Roman" w:eastAsia="Times New Roman" w:hAnsi="Times New Roman"/>
          <w:sz w:val="28"/>
          <w:szCs w:val="32"/>
          <w:lang w:eastAsia="ru-RU"/>
        </w:rPr>
        <w:t>/ч) в течение одного часа.</w:t>
      </w:r>
    </w:p>
    <w:p w14:paraId="46AB0FBC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536588">
        <w:rPr>
          <w:rFonts w:ascii="Times New Roman" w:eastAsia="Times New Roman" w:hAnsi="Times New Roman"/>
          <w:b/>
          <w:sz w:val="28"/>
          <w:szCs w:val="32"/>
          <w:lang w:eastAsia="ru-RU"/>
        </w:rPr>
        <w:t>Особые группы пациентов</w:t>
      </w:r>
    </w:p>
    <w:p w14:paraId="2B878CEB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32"/>
          <w:lang w:eastAsia="ru-RU"/>
        </w:rPr>
      </w:pPr>
      <w:r w:rsidRPr="00536588">
        <w:rPr>
          <w:rFonts w:ascii="Times New Roman" w:eastAsia="Times New Roman" w:hAnsi="Times New Roman"/>
          <w:i/>
          <w:sz w:val="28"/>
          <w:szCs w:val="32"/>
          <w:lang w:eastAsia="ru-RU"/>
        </w:rPr>
        <w:t>Пациенты с печеночной недостаточностью</w:t>
      </w:r>
    </w:p>
    <w:p w14:paraId="0A35E340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32"/>
          <w:lang w:eastAsia="ru-RU"/>
        </w:rPr>
      </w:pPr>
      <w:r w:rsidRPr="00536588"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Суточная доза </w:t>
      </w:r>
      <w:proofErr w:type="spellStart"/>
      <w:r w:rsidRPr="00536588">
        <w:rPr>
          <w:rFonts w:ascii="Times New Roman" w:eastAsia="Times New Roman" w:hAnsi="Times New Roman"/>
          <w:iCs/>
          <w:sz w:val="28"/>
          <w:szCs w:val="32"/>
          <w:lang w:eastAsia="ru-RU"/>
        </w:rPr>
        <w:t>пантопразола</w:t>
      </w:r>
      <w:proofErr w:type="spellEnd"/>
      <w:r w:rsidRPr="00536588"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 20 мг (половина флакона </w:t>
      </w:r>
      <w:proofErr w:type="spellStart"/>
      <w:r w:rsidRPr="00536588">
        <w:rPr>
          <w:rFonts w:ascii="Times New Roman" w:eastAsia="Times New Roman" w:hAnsi="Times New Roman"/>
          <w:iCs/>
          <w:sz w:val="28"/>
          <w:szCs w:val="32"/>
          <w:lang w:eastAsia="ru-RU"/>
        </w:rPr>
        <w:t>пантопразола</w:t>
      </w:r>
      <w:proofErr w:type="spellEnd"/>
      <w:r w:rsidRPr="00536588"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 40 мг) не должна превышаться у пациентов с тяжелым нарушением функции печени.</w:t>
      </w:r>
    </w:p>
    <w:p w14:paraId="505BB37D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32"/>
          <w:lang w:eastAsia="ru-RU"/>
        </w:rPr>
      </w:pPr>
      <w:r w:rsidRPr="00536588">
        <w:rPr>
          <w:rFonts w:ascii="Times New Roman" w:eastAsia="Times New Roman" w:hAnsi="Times New Roman"/>
          <w:i/>
          <w:sz w:val="28"/>
          <w:szCs w:val="32"/>
          <w:lang w:eastAsia="ru-RU"/>
        </w:rPr>
        <w:t>Пациенты с почечной недостаточностью</w:t>
      </w:r>
    </w:p>
    <w:p w14:paraId="6901A6D0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32"/>
          <w:lang w:eastAsia="ru-RU"/>
        </w:rPr>
      </w:pPr>
      <w:r w:rsidRPr="00536588">
        <w:rPr>
          <w:rFonts w:ascii="Times New Roman" w:eastAsia="Times New Roman" w:hAnsi="Times New Roman"/>
          <w:iCs/>
          <w:sz w:val="28"/>
          <w:szCs w:val="32"/>
          <w:lang w:eastAsia="ru-RU"/>
        </w:rPr>
        <w:t>Коррекция дозы у пациентов с нарушением функции почек не требуется.</w:t>
      </w:r>
    </w:p>
    <w:p w14:paraId="7F6962AF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32"/>
          <w:lang w:eastAsia="ru-RU"/>
        </w:rPr>
      </w:pPr>
      <w:r w:rsidRPr="00536588">
        <w:rPr>
          <w:rFonts w:ascii="Times New Roman" w:eastAsia="Times New Roman" w:hAnsi="Times New Roman"/>
          <w:i/>
          <w:sz w:val="28"/>
          <w:szCs w:val="32"/>
          <w:lang w:eastAsia="ru-RU"/>
        </w:rPr>
        <w:t>Пациенты пожилого возраста</w:t>
      </w:r>
    </w:p>
    <w:p w14:paraId="08FBCDB6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32"/>
          <w:lang w:eastAsia="ru-RU"/>
        </w:rPr>
      </w:pPr>
      <w:r w:rsidRPr="00536588">
        <w:rPr>
          <w:rFonts w:ascii="Times New Roman" w:eastAsia="Times New Roman" w:hAnsi="Times New Roman"/>
          <w:iCs/>
          <w:sz w:val="28"/>
          <w:szCs w:val="32"/>
          <w:lang w:eastAsia="ru-RU"/>
        </w:rPr>
        <w:t>Коррекция дозы у пациентов пожилого возраста не требуется.</w:t>
      </w:r>
    </w:p>
    <w:p w14:paraId="3F0F7597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32"/>
          <w:lang w:eastAsia="ru-RU"/>
        </w:rPr>
      </w:pPr>
      <w:r w:rsidRPr="00536588">
        <w:rPr>
          <w:rFonts w:ascii="Times New Roman" w:eastAsia="Times New Roman" w:hAnsi="Times New Roman"/>
          <w:i/>
          <w:sz w:val="28"/>
          <w:szCs w:val="32"/>
          <w:lang w:eastAsia="ru-RU"/>
        </w:rPr>
        <w:t>Дети</w:t>
      </w:r>
    </w:p>
    <w:p w14:paraId="4F1EFDB8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32"/>
          <w:lang w:eastAsia="ru-RU"/>
        </w:rPr>
      </w:pPr>
      <w:r w:rsidRPr="00536588"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Опыт применения у детей ограничен. Поэтому </w:t>
      </w:r>
      <w:proofErr w:type="spellStart"/>
      <w:r w:rsidRPr="00536588">
        <w:rPr>
          <w:rFonts w:ascii="Times New Roman" w:eastAsia="Times New Roman" w:hAnsi="Times New Roman"/>
          <w:iCs/>
          <w:sz w:val="28"/>
          <w:szCs w:val="32"/>
          <w:lang w:eastAsia="ru-RU"/>
        </w:rPr>
        <w:t>пантопразол</w:t>
      </w:r>
      <w:proofErr w:type="spellEnd"/>
      <w:r w:rsidRPr="00536588"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 не рекомендуется назначать пациентам младше 18 лет до тех пор, пока не станут доступны дополнительные данные.</w:t>
      </w:r>
    </w:p>
    <w:p w14:paraId="72F849D7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p w14:paraId="3A35C0AE" w14:textId="77777777" w:rsid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bookmarkStart w:id="3" w:name="2175220276"/>
      <w:bookmarkEnd w:id="2"/>
      <w:r w:rsidRPr="00536588">
        <w:rPr>
          <w:rFonts w:ascii="Times New Roman" w:hAnsi="Times New Roman"/>
          <w:color w:val="000000"/>
          <w:sz w:val="28"/>
          <w:szCs w:val="24"/>
        </w:rPr>
        <w:lastRenderedPageBreak/>
        <w:t xml:space="preserve">Готовый к применению раствор готовят с применением 10 мл раствора хлорида натрия 9 мг/мл (0,9 %) для инъекций. </w:t>
      </w:r>
    </w:p>
    <w:p w14:paraId="3B2DAB8D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>Внешний вид продукта после восстановления представляет собой прозрачный коричневатый раствор. Не используйте, если в восстановленном растворе присутствуют какие-либо частицы. Этот раствор можно вводить непосредственно или после смешивания со 100 мл раствора хлорида натрия 9 мг/мл (0,9 %) для инъекций или раствора глюкозы 50 мг/мл (5 %) для инъекций.</w:t>
      </w:r>
    </w:p>
    <w:p w14:paraId="621B1FFB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>Восстановленный раствор 40 мг/10 мл стабилен в течение 24 часов после первоначального прокола пробки.</w:t>
      </w:r>
    </w:p>
    <w:p w14:paraId="45A6BF44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>Химическая и физическая стабильность при применении была продемонстрирована в течение 12 часов при температуре 25°C после разведения раствором хлорида натрия 9 мг/мл (0,9%) и раствором глюкозы 50 мг/мл (5%).</w:t>
      </w:r>
    </w:p>
    <w:p w14:paraId="290480CD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>Разведенные растворы натрия хлорида 9 мг/мл (0,9%) и раствора декстрозы 50 мг/мл (5%) в концентрациях в дозах 80 и 160 мг стабильны в течение 15 минут.</w:t>
      </w:r>
    </w:p>
    <w:p w14:paraId="2CCDFDEF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>С микробиологической точки зрения продукт следует использовать немедленно.</w:t>
      </w:r>
    </w:p>
    <w:p w14:paraId="75937BE8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536588">
        <w:rPr>
          <w:rFonts w:ascii="Times New Roman" w:hAnsi="Times New Roman"/>
          <w:color w:val="000000"/>
          <w:sz w:val="28"/>
          <w:szCs w:val="24"/>
        </w:rPr>
        <w:t>Пантопразол</w:t>
      </w:r>
      <w:proofErr w:type="spellEnd"/>
      <w:r w:rsidRPr="00536588">
        <w:rPr>
          <w:rFonts w:ascii="Times New Roman" w:hAnsi="Times New Roman"/>
          <w:color w:val="000000"/>
          <w:sz w:val="28"/>
          <w:szCs w:val="24"/>
        </w:rPr>
        <w:t xml:space="preserve"> не следует готовить или смешивать с другими растворителями, кроме указанных.</w:t>
      </w:r>
    </w:p>
    <w:p w14:paraId="36057B6D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>Лекарство следует вводить внутривенно в течение 2-15 минут.</w:t>
      </w:r>
    </w:p>
    <w:p w14:paraId="0B5CE017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36588">
        <w:rPr>
          <w:rFonts w:ascii="Times New Roman" w:hAnsi="Times New Roman"/>
          <w:color w:val="000000"/>
          <w:sz w:val="28"/>
          <w:szCs w:val="24"/>
        </w:rPr>
        <w:t>Содержимое флакона предназначено только для одноразового использования. Любой продукт, оставшийся в контейнере, следует утилизировать в соответствии с местными требованиями.</w:t>
      </w:r>
    </w:p>
    <w:p w14:paraId="050D7D85" w14:textId="77777777" w:rsidR="005C4B12" w:rsidRPr="008372C6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bookmarkStart w:id="4" w:name="2175220278"/>
      <w:bookmarkEnd w:id="3"/>
      <w:r w:rsidRPr="008372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8372C6">
        <w:rPr>
          <w:rFonts w:ascii="Times New Roman" w:hAnsi="Times New Roman"/>
          <w:i/>
          <w:sz w:val="24"/>
        </w:rPr>
        <w:t xml:space="preserve"> </w:t>
      </w:r>
    </w:p>
    <w:p w14:paraId="7194FC67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2175220279"/>
      <w:bookmarkEnd w:id="4"/>
      <w:r w:rsidRPr="00536588">
        <w:rPr>
          <w:rFonts w:ascii="Times New Roman" w:hAnsi="Times New Roman"/>
          <w:color w:val="000000"/>
          <w:sz w:val="28"/>
          <w:szCs w:val="28"/>
        </w:rPr>
        <w:t>Симптомы передозировки у человека неизвестны.</w:t>
      </w:r>
    </w:p>
    <w:p w14:paraId="7BA3F83F" w14:textId="77777777" w:rsidR="00536588" w:rsidRPr="00536588" w:rsidRDefault="00536588" w:rsidP="005365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588">
        <w:rPr>
          <w:rFonts w:ascii="Times New Roman" w:hAnsi="Times New Roman"/>
          <w:color w:val="000000"/>
          <w:sz w:val="28"/>
          <w:szCs w:val="28"/>
        </w:rPr>
        <w:t xml:space="preserve">Системное воздействие в дозах до 240 мг, вводимых внутривенно в течение 2 минут, хорошо переносилось. Поскольку </w:t>
      </w:r>
      <w:proofErr w:type="spellStart"/>
      <w:r w:rsidRPr="00536588">
        <w:rPr>
          <w:rFonts w:ascii="Times New Roman" w:hAnsi="Times New Roman"/>
          <w:color w:val="000000"/>
          <w:sz w:val="28"/>
          <w:szCs w:val="28"/>
        </w:rPr>
        <w:t>пантопразол</w:t>
      </w:r>
      <w:proofErr w:type="spellEnd"/>
      <w:r w:rsidRPr="00536588">
        <w:rPr>
          <w:rFonts w:ascii="Times New Roman" w:hAnsi="Times New Roman"/>
          <w:color w:val="000000"/>
          <w:sz w:val="28"/>
          <w:szCs w:val="28"/>
        </w:rPr>
        <w:t xml:space="preserve"> в значительной степени связывается с белками, его нелегко подвергнуть диализу. В случае передозировки с клиническими признаками интоксикации, кроме симптоматического и поддерживающего лечения, конкретных терапевтических рекомендаций дать невозможно.</w:t>
      </w:r>
    </w:p>
    <w:bookmarkEnd w:id="5"/>
    <w:p w14:paraId="5C777A67" w14:textId="77777777" w:rsidR="00A12563" w:rsidRPr="00844CE8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9FA273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6" w:name="2175220282"/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844CE8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6"/>
    <w:p w14:paraId="7D27F83B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Часто </w:t>
      </w:r>
    </w:p>
    <w:p w14:paraId="016AE35A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36588" w:rsidRPr="00536588">
        <w:rPr>
          <w:rFonts w:ascii="Times New Roman" w:hAnsi="Times New Roman"/>
          <w:sz w:val="28"/>
          <w:szCs w:val="28"/>
        </w:rPr>
        <w:t xml:space="preserve">Полипы </w:t>
      </w:r>
      <w:proofErr w:type="spellStart"/>
      <w:r w:rsidR="00536588" w:rsidRPr="00536588">
        <w:rPr>
          <w:rFonts w:ascii="Times New Roman" w:hAnsi="Times New Roman"/>
          <w:sz w:val="28"/>
          <w:szCs w:val="28"/>
        </w:rPr>
        <w:t>фундальных</w:t>
      </w:r>
      <w:proofErr w:type="spellEnd"/>
      <w:r w:rsidR="00536588" w:rsidRPr="00536588">
        <w:rPr>
          <w:rFonts w:ascii="Times New Roman" w:hAnsi="Times New Roman"/>
          <w:sz w:val="28"/>
          <w:szCs w:val="28"/>
        </w:rPr>
        <w:t xml:space="preserve"> желез (доброкачественные)</w:t>
      </w:r>
    </w:p>
    <w:p w14:paraId="7CA0A72B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36588" w:rsidRPr="00536588">
        <w:rPr>
          <w:rFonts w:ascii="Times New Roman" w:hAnsi="Times New Roman"/>
          <w:sz w:val="28"/>
          <w:szCs w:val="28"/>
        </w:rPr>
        <w:t>Тромбофлебит в месте инъекции</w:t>
      </w:r>
    </w:p>
    <w:p w14:paraId="3A3A14A8" w14:textId="77777777" w:rsidR="00F40388" w:rsidRPr="00844CE8" w:rsidRDefault="00F4038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Нечасто </w:t>
      </w:r>
    </w:p>
    <w:p w14:paraId="613755F5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36588" w:rsidRPr="00536588">
        <w:rPr>
          <w:rFonts w:ascii="Times New Roman" w:hAnsi="Times New Roman"/>
          <w:sz w:val="28"/>
          <w:szCs w:val="28"/>
        </w:rPr>
        <w:t>Расстройство сна</w:t>
      </w:r>
    </w:p>
    <w:p w14:paraId="22E98B8C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36588" w:rsidRPr="00536588">
        <w:rPr>
          <w:rFonts w:ascii="Times New Roman" w:hAnsi="Times New Roman"/>
          <w:sz w:val="28"/>
          <w:szCs w:val="28"/>
        </w:rPr>
        <w:t>Головная боль</w:t>
      </w:r>
      <w:r w:rsidR="00536588">
        <w:rPr>
          <w:rFonts w:ascii="Times New Roman" w:hAnsi="Times New Roman"/>
          <w:sz w:val="28"/>
          <w:szCs w:val="28"/>
        </w:rPr>
        <w:t>,</w:t>
      </w:r>
      <w:r w:rsidR="00536588" w:rsidRPr="00536588">
        <w:rPr>
          <w:rFonts w:ascii="Times New Roman" w:hAnsi="Times New Roman"/>
          <w:sz w:val="28"/>
          <w:szCs w:val="28"/>
        </w:rPr>
        <w:t xml:space="preserve"> Головокружение</w:t>
      </w:r>
    </w:p>
    <w:p w14:paraId="749B30C7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536588">
        <w:rPr>
          <w:rFonts w:ascii="Times New Roman" w:hAnsi="Times New Roman"/>
          <w:sz w:val="28"/>
          <w:szCs w:val="28"/>
        </w:rPr>
        <w:t>Диарея</w:t>
      </w:r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536588">
        <w:rPr>
          <w:rFonts w:ascii="Times New Roman" w:hAnsi="Times New Roman"/>
          <w:sz w:val="28"/>
          <w:szCs w:val="28"/>
        </w:rPr>
        <w:t>ошнота/рвота</w:t>
      </w:r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36588">
        <w:rPr>
          <w:rFonts w:ascii="Times New Roman" w:hAnsi="Times New Roman"/>
          <w:sz w:val="28"/>
          <w:szCs w:val="28"/>
        </w:rPr>
        <w:t>здутие и вздутие живота</w:t>
      </w:r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536588">
        <w:rPr>
          <w:rFonts w:ascii="Times New Roman" w:hAnsi="Times New Roman"/>
          <w:sz w:val="28"/>
          <w:szCs w:val="28"/>
        </w:rPr>
        <w:t>апор</w:t>
      </w:r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536588">
        <w:rPr>
          <w:rFonts w:ascii="Times New Roman" w:hAnsi="Times New Roman"/>
          <w:sz w:val="28"/>
          <w:szCs w:val="28"/>
        </w:rPr>
        <w:t>ухость во рту</w:t>
      </w:r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536588">
        <w:rPr>
          <w:rFonts w:ascii="Times New Roman" w:hAnsi="Times New Roman"/>
          <w:sz w:val="28"/>
          <w:szCs w:val="28"/>
        </w:rPr>
        <w:t>оль и дискомфорт в животе</w:t>
      </w:r>
    </w:p>
    <w:p w14:paraId="00AB47F8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Повышены ферменты печени (трансаминазы, γ-GT)</w:t>
      </w:r>
    </w:p>
    <w:p w14:paraId="45F4AA5E" w14:textId="77777777" w:rsidR="00536588" w:rsidRDefault="00536588" w:rsidP="00536588">
      <w:pPr>
        <w:tabs>
          <w:tab w:val="left" w:pos="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Сыпь/экзантема/высыпания</w:t>
      </w:r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536588">
        <w:rPr>
          <w:rFonts w:ascii="Times New Roman" w:hAnsi="Times New Roman"/>
          <w:sz w:val="28"/>
          <w:szCs w:val="28"/>
        </w:rPr>
        <w:t>уд</w:t>
      </w:r>
      <w:r>
        <w:rPr>
          <w:rFonts w:ascii="Times New Roman" w:hAnsi="Times New Roman"/>
          <w:sz w:val="28"/>
          <w:szCs w:val="28"/>
        </w:rPr>
        <w:tab/>
      </w:r>
    </w:p>
    <w:p w14:paraId="5638B79B" w14:textId="77777777" w:rsidR="00536588" w:rsidRDefault="00536588" w:rsidP="00536588">
      <w:pPr>
        <w:tabs>
          <w:tab w:val="left" w:pos="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Перелом бедра, запястья или позвоночника</w:t>
      </w:r>
    </w:p>
    <w:p w14:paraId="58E8AA58" w14:textId="77777777" w:rsidR="00536588" w:rsidRPr="00844CE8" w:rsidRDefault="00536588" w:rsidP="00536588">
      <w:pPr>
        <w:tabs>
          <w:tab w:val="left" w:pos="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Астения, усталость и недомогание</w:t>
      </w:r>
    </w:p>
    <w:p w14:paraId="70DBE787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Редко </w:t>
      </w:r>
    </w:p>
    <w:p w14:paraId="3F4E2605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36588" w:rsidRPr="00536588">
        <w:rPr>
          <w:rFonts w:ascii="Times New Roman" w:hAnsi="Times New Roman"/>
          <w:sz w:val="28"/>
          <w:szCs w:val="28"/>
        </w:rPr>
        <w:t>Агранулоцитоз</w:t>
      </w:r>
    </w:p>
    <w:p w14:paraId="341570F3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36588" w:rsidRPr="00536588">
        <w:rPr>
          <w:rFonts w:ascii="Times New Roman" w:hAnsi="Times New Roman"/>
          <w:sz w:val="28"/>
          <w:szCs w:val="28"/>
        </w:rPr>
        <w:t>Гиперчувствительность (включая анафилактические реакции и анафилактический шок)</w:t>
      </w:r>
    </w:p>
    <w:p w14:paraId="359AD9AB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Гиперлипидемия и повышение уровня липидов (триглицеридов, холестерина)</w:t>
      </w:r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536588">
        <w:rPr>
          <w:rFonts w:ascii="Times New Roman" w:hAnsi="Times New Roman"/>
          <w:sz w:val="28"/>
          <w:szCs w:val="28"/>
        </w:rPr>
        <w:t>зменения веса</w:t>
      </w:r>
    </w:p>
    <w:p w14:paraId="109D423A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Депрессия (и все обострения)</w:t>
      </w:r>
    </w:p>
    <w:p w14:paraId="7C025B05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Расстройства вкуса</w:t>
      </w:r>
    </w:p>
    <w:p w14:paraId="016AD89D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Нарушения зрения/затуманивание зрения</w:t>
      </w:r>
    </w:p>
    <w:p w14:paraId="7B04B402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Повышенный билирубин</w:t>
      </w:r>
    </w:p>
    <w:p w14:paraId="7E7A9AAC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Крапивница</w:t>
      </w:r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отек Квинке</w:t>
      </w:r>
    </w:p>
    <w:p w14:paraId="408CBE15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Артралгия</w:t>
      </w:r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536588">
        <w:rPr>
          <w:rFonts w:ascii="Times New Roman" w:hAnsi="Times New Roman"/>
          <w:sz w:val="28"/>
          <w:szCs w:val="28"/>
        </w:rPr>
        <w:t>иалгия</w:t>
      </w:r>
    </w:p>
    <w:p w14:paraId="7265005F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Гинекомастия</w:t>
      </w:r>
    </w:p>
    <w:p w14:paraId="27CC2710" w14:textId="77777777" w:rsidR="00536588" w:rsidRPr="00844CE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Повышена температура тела</w:t>
      </w:r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36588">
        <w:rPr>
          <w:rFonts w:ascii="Times New Roman" w:hAnsi="Times New Roman"/>
          <w:sz w:val="28"/>
          <w:szCs w:val="28"/>
        </w:rPr>
        <w:t>ериферические отеки</w:t>
      </w:r>
    </w:p>
    <w:p w14:paraId="5E034FAD" w14:textId="77777777" w:rsidR="005C4B12" w:rsidRPr="00844CE8" w:rsidRDefault="001937AD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Очень редко</w:t>
      </w:r>
      <w:r w:rsidR="00620F34" w:rsidRPr="00844CE8">
        <w:rPr>
          <w:rFonts w:ascii="Times New Roman" w:hAnsi="Times New Roman"/>
          <w:i/>
          <w:sz w:val="28"/>
          <w:szCs w:val="28"/>
        </w:rPr>
        <w:t xml:space="preserve"> </w:t>
      </w:r>
    </w:p>
    <w:p w14:paraId="401488E6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36588" w:rsidRPr="00536588">
        <w:rPr>
          <w:rFonts w:ascii="Times New Roman" w:hAnsi="Times New Roman"/>
          <w:sz w:val="28"/>
          <w:szCs w:val="28"/>
        </w:rPr>
        <w:t>Тромбоцитопения</w:t>
      </w:r>
      <w:r w:rsidR="00536588">
        <w:rPr>
          <w:rFonts w:ascii="Times New Roman" w:hAnsi="Times New Roman"/>
          <w:sz w:val="28"/>
          <w:szCs w:val="28"/>
        </w:rPr>
        <w:t>,</w:t>
      </w:r>
      <w:r w:rsidR="00536588" w:rsidRPr="00536588">
        <w:rPr>
          <w:rFonts w:ascii="Times New Roman" w:hAnsi="Times New Roman"/>
          <w:sz w:val="28"/>
          <w:szCs w:val="28"/>
        </w:rPr>
        <w:t xml:space="preserve"> </w:t>
      </w:r>
      <w:r w:rsidR="00536588">
        <w:rPr>
          <w:rFonts w:ascii="Times New Roman" w:hAnsi="Times New Roman"/>
          <w:sz w:val="28"/>
          <w:szCs w:val="28"/>
        </w:rPr>
        <w:t>л</w:t>
      </w:r>
      <w:r w:rsidR="00536588" w:rsidRPr="00536588">
        <w:rPr>
          <w:rFonts w:ascii="Times New Roman" w:hAnsi="Times New Roman"/>
          <w:sz w:val="28"/>
          <w:szCs w:val="28"/>
        </w:rPr>
        <w:t>ейкопения</w:t>
      </w:r>
      <w:r w:rsidR="00536588">
        <w:rPr>
          <w:rFonts w:ascii="Times New Roman" w:hAnsi="Times New Roman"/>
          <w:sz w:val="28"/>
          <w:szCs w:val="28"/>
        </w:rPr>
        <w:t>,</w:t>
      </w:r>
      <w:r w:rsidR="00536588" w:rsidRPr="005365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6588">
        <w:rPr>
          <w:rFonts w:ascii="Times New Roman" w:hAnsi="Times New Roman"/>
          <w:sz w:val="28"/>
          <w:szCs w:val="28"/>
        </w:rPr>
        <w:t>п</w:t>
      </w:r>
      <w:r w:rsidR="00536588" w:rsidRPr="00536588">
        <w:rPr>
          <w:rFonts w:ascii="Times New Roman" w:hAnsi="Times New Roman"/>
          <w:sz w:val="28"/>
          <w:szCs w:val="28"/>
        </w:rPr>
        <w:t>анцитопения</w:t>
      </w:r>
      <w:proofErr w:type="spellEnd"/>
    </w:p>
    <w:p w14:paraId="6ED4AC5B" w14:textId="77777777" w:rsidR="00536588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36588" w:rsidRPr="00536588">
        <w:rPr>
          <w:rFonts w:ascii="Times New Roman" w:hAnsi="Times New Roman"/>
          <w:sz w:val="28"/>
          <w:szCs w:val="28"/>
        </w:rPr>
        <w:t>Дезориентация (и все ухудшения)</w:t>
      </w:r>
    </w:p>
    <w:p w14:paraId="6FE4FFDD" w14:textId="77777777" w:rsidR="007E1A7B" w:rsidRPr="00536588" w:rsidRDefault="007E1A7B" w:rsidP="007E1A7B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536588">
        <w:rPr>
          <w:rFonts w:ascii="Times New Roman" w:hAnsi="Times New Roman"/>
          <w:i/>
          <w:sz w:val="28"/>
          <w:szCs w:val="28"/>
        </w:rPr>
        <w:t>Неизвестно (невозможно оценить на основании имеющихся данных</w:t>
      </w:r>
      <w:r w:rsidRPr="00536588">
        <w:rPr>
          <w:rFonts w:ascii="Times New Roman" w:hAnsi="Times New Roman"/>
          <w:i/>
          <w:sz w:val="32"/>
          <w:szCs w:val="32"/>
        </w:rPr>
        <w:t>)</w:t>
      </w:r>
    </w:p>
    <w:p w14:paraId="3F38B533" w14:textId="77777777" w:rsidR="005C4B12" w:rsidRPr="00844CE8" w:rsidRDefault="007E1A7B" w:rsidP="0053658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A7B">
        <w:rPr>
          <w:rFonts w:ascii="Times New Roman" w:hAnsi="Times New Roman"/>
          <w:sz w:val="28"/>
          <w:szCs w:val="28"/>
        </w:rPr>
        <w:t xml:space="preserve">- </w:t>
      </w:r>
      <w:r w:rsidR="00536588" w:rsidRPr="00536588">
        <w:rPr>
          <w:rFonts w:ascii="Times New Roman" w:hAnsi="Times New Roman"/>
          <w:sz w:val="28"/>
          <w:szCs w:val="28"/>
        </w:rPr>
        <w:t>Гипонатриемия</w:t>
      </w:r>
      <w:r w:rsidR="00536588">
        <w:rPr>
          <w:rFonts w:ascii="Times New Roman" w:hAnsi="Times New Roman"/>
          <w:sz w:val="28"/>
          <w:szCs w:val="28"/>
        </w:rPr>
        <w:t>,</w:t>
      </w:r>
      <w:r w:rsidR="00536588" w:rsidRPr="005365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6588">
        <w:rPr>
          <w:rFonts w:ascii="Times New Roman" w:hAnsi="Times New Roman"/>
          <w:sz w:val="28"/>
          <w:szCs w:val="28"/>
        </w:rPr>
        <w:t>г</w:t>
      </w:r>
      <w:r w:rsidR="00536588" w:rsidRPr="00536588">
        <w:rPr>
          <w:rFonts w:ascii="Times New Roman" w:hAnsi="Times New Roman"/>
          <w:sz w:val="28"/>
          <w:szCs w:val="28"/>
        </w:rPr>
        <w:t>ипомагниемия</w:t>
      </w:r>
      <w:proofErr w:type="spellEnd"/>
      <w:r w:rsidR="00536588">
        <w:rPr>
          <w:rFonts w:ascii="Times New Roman" w:hAnsi="Times New Roman"/>
          <w:sz w:val="28"/>
          <w:szCs w:val="28"/>
        </w:rPr>
        <w:t>,</w:t>
      </w:r>
      <w:r w:rsidR="00536588" w:rsidRPr="005365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6588">
        <w:rPr>
          <w:rFonts w:ascii="Times New Roman" w:hAnsi="Times New Roman"/>
          <w:sz w:val="28"/>
          <w:szCs w:val="28"/>
        </w:rPr>
        <w:t>г</w:t>
      </w:r>
      <w:r w:rsidR="00536588" w:rsidRPr="00536588">
        <w:rPr>
          <w:rFonts w:ascii="Times New Roman" w:hAnsi="Times New Roman"/>
          <w:sz w:val="28"/>
          <w:szCs w:val="28"/>
        </w:rPr>
        <w:t>ипокальциемия</w:t>
      </w:r>
      <w:proofErr w:type="spellEnd"/>
      <w:r w:rsidR="00536588" w:rsidRPr="00536588">
        <w:rPr>
          <w:rFonts w:ascii="Times New Roman" w:hAnsi="Times New Roman"/>
          <w:sz w:val="28"/>
          <w:szCs w:val="28"/>
          <w:vertAlign w:val="superscript"/>
        </w:rPr>
        <w:t>(1)</w:t>
      </w:r>
      <w:r w:rsidR="005365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36588">
        <w:rPr>
          <w:rFonts w:ascii="Times New Roman" w:hAnsi="Times New Roman"/>
          <w:sz w:val="28"/>
          <w:szCs w:val="28"/>
        </w:rPr>
        <w:t>г</w:t>
      </w:r>
      <w:r w:rsidR="00536588" w:rsidRPr="00536588">
        <w:rPr>
          <w:rFonts w:ascii="Times New Roman" w:hAnsi="Times New Roman"/>
          <w:sz w:val="28"/>
          <w:szCs w:val="28"/>
        </w:rPr>
        <w:t>ипокалиемия</w:t>
      </w:r>
      <w:proofErr w:type="spellEnd"/>
    </w:p>
    <w:p w14:paraId="7D8C3F5D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36588" w:rsidRPr="00536588">
        <w:rPr>
          <w:rFonts w:ascii="Times New Roman" w:hAnsi="Times New Roman"/>
          <w:sz w:val="28"/>
          <w:szCs w:val="28"/>
        </w:rPr>
        <w:t>Галлюцинация</w:t>
      </w:r>
      <w:r w:rsidR="00536588">
        <w:rPr>
          <w:rFonts w:ascii="Times New Roman" w:hAnsi="Times New Roman"/>
          <w:sz w:val="28"/>
          <w:szCs w:val="28"/>
        </w:rPr>
        <w:t>,</w:t>
      </w:r>
      <w:r w:rsidR="00536588" w:rsidRPr="00536588">
        <w:rPr>
          <w:rFonts w:ascii="Times New Roman" w:hAnsi="Times New Roman"/>
          <w:sz w:val="28"/>
          <w:szCs w:val="28"/>
        </w:rPr>
        <w:t xml:space="preserve"> </w:t>
      </w:r>
      <w:r w:rsidR="00536588">
        <w:rPr>
          <w:rFonts w:ascii="Times New Roman" w:hAnsi="Times New Roman"/>
          <w:sz w:val="28"/>
          <w:szCs w:val="28"/>
        </w:rPr>
        <w:t>с</w:t>
      </w:r>
      <w:r w:rsidR="00536588" w:rsidRPr="00536588">
        <w:rPr>
          <w:rFonts w:ascii="Times New Roman" w:hAnsi="Times New Roman"/>
          <w:sz w:val="28"/>
          <w:szCs w:val="28"/>
        </w:rPr>
        <w:t xml:space="preserve">путанность сознания (особенно у предрасположенных больных, а также усиление этих симптомов при </w:t>
      </w:r>
      <w:proofErr w:type="spellStart"/>
      <w:r w:rsidR="00536588" w:rsidRPr="00536588">
        <w:rPr>
          <w:rFonts w:ascii="Times New Roman" w:hAnsi="Times New Roman"/>
          <w:sz w:val="28"/>
          <w:szCs w:val="28"/>
        </w:rPr>
        <w:t>предсуществовании</w:t>
      </w:r>
      <w:proofErr w:type="spellEnd"/>
      <w:r w:rsidR="00536588" w:rsidRPr="00536588">
        <w:rPr>
          <w:rFonts w:ascii="Times New Roman" w:hAnsi="Times New Roman"/>
          <w:sz w:val="28"/>
          <w:szCs w:val="28"/>
        </w:rPr>
        <w:t>)</w:t>
      </w:r>
    </w:p>
    <w:p w14:paraId="0867CAD3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Парестезия</w:t>
      </w:r>
    </w:p>
    <w:p w14:paraId="10DCB3D5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Микроскопический колит</w:t>
      </w:r>
    </w:p>
    <w:p w14:paraId="7DEBA82D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Гепатоцеллюлярное повреждение</w:t>
      </w:r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</w:t>
      </w:r>
      <w:r w:rsidRPr="00536588">
        <w:rPr>
          <w:rFonts w:ascii="Times New Roman" w:hAnsi="Times New Roman"/>
          <w:sz w:val="28"/>
          <w:szCs w:val="28"/>
        </w:rPr>
        <w:t>елтуха</w:t>
      </w:r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536588">
        <w:rPr>
          <w:rFonts w:ascii="Times New Roman" w:hAnsi="Times New Roman"/>
          <w:sz w:val="28"/>
          <w:szCs w:val="28"/>
        </w:rPr>
        <w:t>епатоцеллюлярная недостаточность</w:t>
      </w:r>
    </w:p>
    <w:p w14:paraId="549FB038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 xml:space="preserve">синдром </w:t>
      </w:r>
      <w:proofErr w:type="spellStart"/>
      <w:r w:rsidRPr="00536588">
        <w:rPr>
          <w:rFonts w:ascii="Times New Roman" w:hAnsi="Times New Roman"/>
          <w:sz w:val="28"/>
          <w:szCs w:val="28"/>
        </w:rPr>
        <w:t>Стивенса</w:t>
      </w:r>
      <w:proofErr w:type="spellEnd"/>
      <w:r w:rsidRPr="00536588">
        <w:rPr>
          <w:rFonts w:ascii="Times New Roman" w:hAnsi="Times New Roman"/>
          <w:sz w:val="28"/>
          <w:szCs w:val="28"/>
        </w:rPr>
        <w:t>-Джонсона</w:t>
      </w:r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синдром </w:t>
      </w:r>
      <w:proofErr w:type="spellStart"/>
      <w:r w:rsidRPr="00536588">
        <w:rPr>
          <w:rFonts w:ascii="Times New Roman" w:hAnsi="Times New Roman"/>
          <w:sz w:val="28"/>
          <w:szCs w:val="28"/>
        </w:rPr>
        <w:t>Лайелла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 w:rsidRPr="00536588">
        <w:rPr>
          <w:rFonts w:ascii="Times New Roman" w:hAnsi="Times New Roman"/>
          <w:sz w:val="28"/>
          <w:szCs w:val="28"/>
        </w:rPr>
        <w:t>ультиформная</w:t>
      </w:r>
      <w:proofErr w:type="spellEnd"/>
      <w:r w:rsidRPr="00536588">
        <w:rPr>
          <w:rFonts w:ascii="Times New Roman" w:hAnsi="Times New Roman"/>
          <w:sz w:val="28"/>
          <w:szCs w:val="28"/>
        </w:rPr>
        <w:t xml:space="preserve"> эритема</w:t>
      </w:r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536588">
        <w:rPr>
          <w:rFonts w:ascii="Times New Roman" w:hAnsi="Times New Roman"/>
          <w:sz w:val="28"/>
          <w:szCs w:val="28"/>
        </w:rPr>
        <w:t>веточувствительность</w:t>
      </w:r>
      <w:r>
        <w:rPr>
          <w:rFonts w:ascii="Times New Roman" w:hAnsi="Times New Roman"/>
          <w:sz w:val="28"/>
          <w:szCs w:val="28"/>
        </w:rPr>
        <w:t>,</w:t>
      </w:r>
      <w:r w:rsidRPr="00536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36588">
        <w:rPr>
          <w:rFonts w:ascii="Times New Roman" w:hAnsi="Times New Roman"/>
          <w:sz w:val="28"/>
          <w:szCs w:val="28"/>
        </w:rPr>
        <w:t xml:space="preserve">одострая кожная красная волчанка </w:t>
      </w:r>
    </w:p>
    <w:p w14:paraId="0D384783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Мышечный спазм</w:t>
      </w:r>
      <w:r w:rsidRPr="00536588">
        <w:rPr>
          <w:rFonts w:ascii="Times New Roman" w:hAnsi="Times New Roman"/>
          <w:sz w:val="28"/>
          <w:szCs w:val="28"/>
          <w:vertAlign w:val="superscript"/>
        </w:rPr>
        <w:t>(2)</w:t>
      </w:r>
    </w:p>
    <w:p w14:paraId="431C2709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6588">
        <w:rPr>
          <w:rFonts w:ascii="Times New Roman" w:hAnsi="Times New Roman"/>
          <w:sz w:val="28"/>
          <w:szCs w:val="28"/>
        </w:rPr>
        <w:t>Интерстициальный нефрит (с возможным прогрессированием до почечной недостаточности)</w:t>
      </w:r>
    </w:p>
    <w:p w14:paraId="2A1251D2" w14:textId="77777777" w:rsid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D9BF0E" w14:textId="77777777" w:rsidR="00536588" w:rsidRPr="00536588" w:rsidRDefault="00536588" w:rsidP="0053658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</w:rPr>
      </w:pPr>
      <w:r w:rsidRPr="00536588">
        <w:rPr>
          <w:rFonts w:ascii="Times New Roman" w:hAnsi="Times New Roman"/>
        </w:rPr>
        <w:t xml:space="preserve">(1) </w:t>
      </w:r>
      <w:proofErr w:type="spellStart"/>
      <w:r w:rsidRPr="00536588">
        <w:rPr>
          <w:rFonts w:ascii="Times New Roman" w:hAnsi="Times New Roman"/>
        </w:rPr>
        <w:t>Гипокальциемия</w:t>
      </w:r>
      <w:proofErr w:type="spellEnd"/>
      <w:r w:rsidRPr="00536588">
        <w:rPr>
          <w:rFonts w:ascii="Times New Roman" w:hAnsi="Times New Roman"/>
        </w:rPr>
        <w:t xml:space="preserve"> в сочетании с </w:t>
      </w:r>
      <w:proofErr w:type="spellStart"/>
      <w:r w:rsidRPr="00536588">
        <w:rPr>
          <w:rFonts w:ascii="Times New Roman" w:hAnsi="Times New Roman"/>
        </w:rPr>
        <w:t>гипомагниемией</w:t>
      </w:r>
      <w:proofErr w:type="spellEnd"/>
    </w:p>
    <w:p w14:paraId="0B8346CB" w14:textId="77777777" w:rsidR="007E1A7B" w:rsidRPr="00536588" w:rsidRDefault="00536588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</w:rPr>
      </w:pPr>
      <w:r w:rsidRPr="00536588">
        <w:rPr>
          <w:rFonts w:ascii="Times New Roman" w:hAnsi="Times New Roman"/>
        </w:rPr>
        <w:t>(2) Мышечный спазм как следствие нарушения электролитного баланса</w:t>
      </w:r>
    </w:p>
    <w:p w14:paraId="463F90E5" w14:textId="77777777" w:rsidR="0041162E" w:rsidRPr="00844CE8" w:rsidRDefault="0041162E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A66F0C" w14:textId="77777777" w:rsidR="00827BB2" w:rsidRPr="006703A5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844CE8">
        <w:rPr>
          <w:rFonts w:ascii="Times New Roman" w:hAnsi="Times New Roman"/>
          <w:b/>
          <w:color w:val="000000"/>
          <w:sz w:val="28"/>
        </w:rPr>
        <w:t>П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</w:t>
      </w:r>
      <w:r w:rsidR="00D93C80" w:rsidRPr="00844CE8">
        <w:rPr>
          <w:rFonts w:ascii="Times New Roman" w:hAnsi="Times New Roman"/>
          <w:b/>
          <w:color w:val="000000"/>
          <w:sz w:val="28"/>
        </w:rPr>
        <w:lastRenderedPageBreak/>
        <w:t>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844CE8">
        <w:rPr>
          <w:rFonts w:ascii="Times New Roman" w:hAnsi="Times New Roman"/>
          <w:b/>
          <w:color w:val="000000"/>
          <w:sz w:val="28"/>
        </w:rPr>
        <w:t xml:space="preserve"> </w:t>
      </w:r>
    </w:p>
    <w:p w14:paraId="7EFEC844" w14:textId="77777777" w:rsidR="006703A5" w:rsidRPr="006C577B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9DE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084813" w:rsidRPr="00084813">
        <w:rPr>
          <w:rFonts w:ascii="Times New Roman" w:hAnsi="Times New Roman"/>
          <w:sz w:val="28"/>
          <w:szCs w:val="28"/>
        </w:rPr>
        <w:t>Комитета</w:t>
      </w:r>
      <w:r w:rsidR="00084813">
        <w:rPr>
          <w:rFonts w:ascii="Times New Roman" w:hAnsi="Times New Roman"/>
          <w:sz w:val="28"/>
          <w:szCs w:val="28"/>
        </w:rPr>
        <w:t xml:space="preserve"> </w:t>
      </w:r>
      <w:r w:rsidR="00084813" w:rsidRPr="00084813">
        <w:rPr>
          <w:rFonts w:ascii="Times New Roman" w:hAnsi="Times New Roman"/>
          <w:sz w:val="28"/>
          <w:szCs w:val="28"/>
        </w:rPr>
        <w:t xml:space="preserve">медицинского и фармацевтического контроля </w:t>
      </w:r>
      <w:r w:rsidRPr="006C577B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0F55DFA7" w14:textId="77777777" w:rsidR="006703A5" w:rsidRPr="006C577B" w:rsidRDefault="00E23413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6C71C263" w14:textId="77777777" w:rsidR="006703A5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3B3D0F" w14:textId="77777777" w:rsidR="000C2C4B" w:rsidRPr="00844CE8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72A25445" w14:textId="77777777" w:rsidR="006B7A90" w:rsidRPr="00844CE8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7" w:name="2175220285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5887C384" w14:textId="77777777" w:rsidR="00536588" w:rsidRPr="00844CE8" w:rsidRDefault="00536588" w:rsidP="00536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8" w:name="2175220286"/>
      <w:bookmarkEnd w:id="7"/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 флакон 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содержит </w:t>
      </w:r>
    </w:p>
    <w:p w14:paraId="6B6480E2" w14:textId="77777777" w:rsidR="00536588" w:rsidRPr="00844CE8" w:rsidRDefault="00536588" w:rsidP="00536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- </w:t>
      </w:r>
      <w:r w:rsidRPr="00EE7A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натрия </w:t>
      </w:r>
      <w:proofErr w:type="spellStart"/>
      <w:r w:rsidRPr="00EE7A5F">
        <w:rPr>
          <w:rFonts w:ascii="Times New Roman" w:eastAsia="Times New Roman" w:hAnsi="Times New Roman"/>
          <w:bCs/>
          <w:sz w:val="28"/>
          <w:szCs w:val="28"/>
          <w:lang w:eastAsia="ru-RU"/>
        </w:rPr>
        <w:t>пантопразола</w:t>
      </w:r>
      <w:proofErr w:type="spellEnd"/>
      <w:r w:rsidRPr="00EE7A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(эквивалентно </w:t>
      </w:r>
      <w:proofErr w:type="spellStart"/>
      <w:r w:rsidRPr="00EE7A5F">
        <w:rPr>
          <w:rFonts w:ascii="Times New Roman" w:eastAsia="Times New Roman" w:hAnsi="Times New Roman"/>
          <w:bCs/>
          <w:sz w:val="28"/>
          <w:szCs w:val="28"/>
          <w:lang w:eastAsia="ru-RU"/>
        </w:rPr>
        <w:t>пантопразолу</w:t>
      </w:r>
      <w:proofErr w:type="spellEnd"/>
      <w:r w:rsidRPr="00EE7A5F">
        <w:rPr>
          <w:rFonts w:ascii="Times New Roman" w:eastAsia="Times New Roman" w:hAnsi="Times New Roman"/>
          <w:bCs/>
          <w:sz w:val="28"/>
          <w:szCs w:val="28"/>
          <w:lang w:eastAsia="ru-RU"/>
        </w:rPr>
        <w:t>) 40.0 мг;</w:t>
      </w:r>
    </w:p>
    <w:p w14:paraId="09B14774" w14:textId="77777777" w:rsidR="00536588" w:rsidRPr="00844CE8" w:rsidRDefault="00536588" w:rsidP="00536588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  <w:lang w:val="uk-UA"/>
        </w:rPr>
      </w:pPr>
      <w:r w:rsidRPr="00844CE8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proofErr w:type="spellStart"/>
      <w:r>
        <w:rPr>
          <w:rFonts w:ascii="Times New Roman" w:hAnsi="Times New Roman"/>
          <w:bCs/>
          <w:iCs/>
          <w:spacing w:val="-2"/>
          <w:sz w:val="28"/>
          <w:szCs w:val="28"/>
        </w:rPr>
        <w:t>д</w:t>
      </w:r>
      <w:r w:rsidRPr="00EE7A5F">
        <w:rPr>
          <w:rFonts w:ascii="Times New Roman" w:hAnsi="Times New Roman"/>
          <w:bCs/>
          <w:iCs/>
          <w:spacing w:val="-2"/>
          <w:sz w:val="28"/>
          <w:szCs w:val="28"/>
        </w:rPr>
        <w:t>инатрия</w:t>
      </w:r>
      <w:proofErr w:type="spellEnd"/>
      <w:r w:rsidRPr="00EE7A5F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EE7A5F">
        <w:rPr>
          <w:rFonts w:ascii="Times New Roman" w:hAnsi="Times New Roman"/>
          <w:bCs/>
          <w:iCs/>
          <w:spacing w:val="-2"/>
          <w:sz w:val="28"/>
          <w:szCs w:val="28"/>
        </w:rPr>
        <w:t>эдетат</w:t>
      </w:r>
      <w:proofErr w:type="spellEnd"/>
      <w:r w:rsidRPr="00EE7A5F">
        <w:rPr>
          <w:rFonts w:ascii="Times New Roman" w:hAnsi="Times New Roman"/>
          <w:bCs/>
          <w:iCs/>
          <w:spacing w:val="-2"/>
          <w:sz w:val="28"/>
          <w:szCs w:val="28"/>
        </w:rPr>
        <w:t xml:space="preserve"> дигидрат</w:t>
      </w:r>
      <w:r>
        <w:rPr>
          <w:rFonts w:ascii="Times New Roman" w:hAnsi="Times New Roman"/>
          <w:bCs/>
          <w:iCs/>
          <w:spacing w:val="-2"/>
          <w:sz w:val="28"/>
          <w:szCs w:val="28"/>
        </w:rPr>
        <w:t>, н</w:t>
      </w:r>
      <w:r w:rsidRPr="00EE7A5F">
        <w:rPr>
          <w:rFonts w:ascii="Times New Roman" w:hAnsi="Times New Roman"/>
          <w:bCs/>
          <w:iCs/>
          <w:spacing w:val="-2"/>
          <w:sz w:val="28"/>
          <w:szCs w:val="28"/>
        </w:rPr>
        <w:t>атрия гидроксид</w:t>
      </w:r>
      <w:r>
        <w:rPr>
          <w:rFonts w:ascii="Times New Roman" w:hAnsi="Times New Roman"/>
          <w:bCs/>
          <w:iCs/>
          <w:spacing w:val="-2"/>
          <w:sz w:val="28"/>
          <w:szCs w:val="28"/>
        </w:rPr>
        <w:t>, в</w:t>
      </w:r>
      <w:r w:rsidRPr="00EE7A5F">
        <w:rPr>
          <w:rFonts w:ascii="Times New Roman" w:hAnsi="Times New Roman"/>
          <w:bCs/>
          <w:iCs/>
          <w:spacing w:val="-2"/>
          <w:sz w:val="28"/>
          <w:szCs w:val="28"/>
        </w:rPr>
        <w:t>ода для инъекций</w:t>
      </w:r>
      <w:r>
        <w:rPr>
          <w:rFonts w:ascii="Times New Roman" w:hAnsi="Times New Roman"/>
          <w:bCs/>
          <w:iCs/>
          <w:spacing w:val="-2"/>
          <w:sz w:val="28"/>
          <w:szCs w:val="28"/>
        </w:rPr>
        <w:t>.</w:t>
      </w:r>
    </w:p>
    <w:p w14:paraId="710EEF99" w14:textId="77777777" w:rsidR="006B7A90" w:rsidRPr="00C91310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310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внешнего вида, запаха, вкуса</w:t>
      </w:r>
    </w:p>
    <w:p w14:paraId="650AC534" w14:textId="77777777" w:rsidR="00536588" w:rsidRPr="00EE7A5F" w:rsidRDefault="00536588" w:rsidP="00536588">
      <w:pPr>
        <w:pStyle w:val="ac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9" w:name="_Hlk70156534"/>
      <w:bookmarkEnd w:id="8"/>
      <w:r w:rsidRPr="00EE7A5F">
        <w:rPr>
          <w:rFonts w:ascii="Times New Roman" w:eastAsia="Times New Roman" w:hAnsi="Times New Roman"/>
          <w:bCs/>
          <w:sz w:val="28"/>
          <w:szCs w:val="28"/>
          <w:lang w:eastAsia="ru-RU"/>
        </w:rPr>
        <w:t>Бел</w:t>
      </w:r>
      <w:r w:rsidRPr="00EE7A5F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ого </w:t>
      </w:r>
      <w:r w:rsidRPr="00EE7A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почти белого цвета </w:t>
      </w:r>
      <w:proofErr w:type="spellStart"/>
      <w:r w:rsidRPr="00EE7A5F">
        <w:rPr>
          <w:rFonts w:ascii="Times New Roman" w:eastAsia="Times New Roman" w:hAnsi="Times New Roman"/>
          <w:bCs/>
          <w:sz w:val="28"/>
          <w:szCs w:val="28"/>
          <w:lang w:eastAsia="ru-RU"/>
        </w:rPr>
        <w:t>лиофилизированная</w:t>
      </w:r>
      <w:proofErr w:type="spellEnd"/>
      <w:r w:rsidRPr="00EE7A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пробка или порошок.</w:t>
      </w:r>
    </w:p>
    <w:p w14:paraId="693C4935" w14:textId="77777777" w:rsidR="00536588" w:rsidRDefault="00536588" w:rsidP="00536588">
      <w:pPr>
        <w:pStyle w:val="ac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E7A5F">
        <w:rPr>
          <w:rFonts w:ascii="Times New Roman" w:eastAsia="Times New Roman" w:hAnsi="Times New Roman"/>
          <w:bCs/>
          <w:sz w:val="28"/>
          <w:szCs w:val="28"/>
          <w:lang w:eastAsia="ru-RU"/>
        </w:rPr>
        <w:t>Восстановленный раствор – прозрачный бесцветный или почти бесцветный раствор без видимых частиц</w:t>
      </w:r>
      <w:bookmarkEnd w:id="9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8D176FB" w14:textId="77777777"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CE5746" w14:textId="77777777" w:rsidR="00C9308C" w:rsidRDefault="00C9308C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0" w:name="2175220287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  выпуска  и упаковка</w:t>
      </w:r>
    </w:p>
    <w:p w14:paraId="54F6D4F9" w14:textId="77777777" w:rsidR="00536588" w:rsidRPr="008779CD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_Hlk75204590"/>
      <w:r w:rsidRPr="008779C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 помещают во флакон вместимостью 10 мл из прозрачного стекла типа </w:t>
      </w:r>
      <w:r w:rsidRPr="008779CD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8779CD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ФСША), укупоренный </w:t>
      </w:r>
      <w:proofErr w:type="spellStart"/>
      <w:r w:rsidRPr="008779CD">
        <w:rPr>
          <w:rFonts w:ascii="Times New Roman" w:eastAsia="Times New Roman" w:hAnsi="Times New Roman"/>
          <w:sz w:val="28"/>
          <w:szCs w:val="28"/>
          <w:lang w:eastAsia="ru-RU"/>
        </w:rPr>
        <w:t>бромбутиловой</w:t>
      </w:r>
      <w:proofErr w:type="spellEnd"/>
      <w:r w:rsidRPr="008779CD">
        <w:rPr>
          <w:rFonts w:ascii="Times New Roman" w:eastAsia="Times New Roman" w:hAnsi="Times New Roman"/>
          <w:sz w:val="28"/>
          <w:szCs w:val="28"/>
          <w:lang w:eastAsia="ru-RU"/>
        </w:rPr>
        <w:t xml:space="preserve"> резиновой пробкой, обжатый алюминиевым колпачком и запечатанный полипропиленовым колпачком типа «</w:t>
      </w:r>
      <w:r w:rsidRPr="008779CD">
        <w:rPr>
          <w:rFonts w:ascii="Times New Roman" w:eastAsia="Times New Roman" w:hAnsi="Times New Roman"/>
          <w:sz w:val="28"/>
          <w:szCs w:val="28"/>
          <w:lang w:val="en-US" w:eastAsia="ru-RU"/>
        </w:rPr>
        <w:t>flip</w:t>
      </w:r>
      <w:r w:rsidRPr="008779C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779CD">
        <w:rPr>
          <w:rFonts w:ascii="Times New Roman" w:eastAsia="Times New Roman" w:hAnsi="Times New Roman"/>
          <w:sz w:val="28"/>
          <w:szCs w:val="28"/>
          <w:lang w:val="en-US" w:eastAsia="ru-RU"/>
        </w:rPr>
        <w:t>off</w:t>
      </w:r>
      <w:r w:rsidRPr="008779CD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14:paraId="1C55254F" w14:textId="77777777" w:rsidR="0053658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9CD">
        <w:rPr>
          <w:rFonts w:ascii="Times New Roman" w:eastAsia="Times New Roman" w:hAnsi="Times New Roman"/>
          <w:sz w:val="28"/>
          <w:szCs w:val="28"/>
          <w:lang w:eastAsia="ru-RU"/>
        </w:rPr>
        <w:t>По 1 или 10 флаконов вместе с инструкцией по медицинскому применению на казахском и русском языках вкладывают в пачку из картона</w:t>
      </w:r>
      <w:bookmarkEnd w:id="11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984FACE" w14:textId="77777777" w:rsidR="006D5B76" w:rsidRDefault="006D5B76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965FAA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1CE0EAC1" w14:textId="77777777" w:rsidR="00536588" w:rsidRPr="006D5B76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2175220288"/>
      <w:bookmarkEnd w:id="10"/>
      <w:r>
        <w:rPr>
          <w:rFonts w:ascii="Times New Roman" w:eastAsia="Times New Roman" w:hAnsi="Times New Roman"/>
          <w:sz w:val="28"/>
          <w:szCs w:val="28"/>
          <w:lang w:eastAsia="ru-RU"/>
        </w:rPr>
        <w:t>2 года</w:t>
      </w:r>
    </w:p>
    <w:p w14:paraId="7B9ABA76" w14:textId="77777777" w:rsidR="00536588" w:rsidRPr="00844CE8" w:rsidRDefault="00536588" w:rsidP="005365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>Не применять по истечении срока годности!</w:t>
      </w:r>
    </w:p>
    <w:p w14:paraId="79F04497" w14:textId="77777777" w:rsidR="00DC33F0" w:rsidRDefault="00DC33F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11843B49" w14:textId="77777777"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18E31EB0" w14:textId="77777777" w:rsidR="00536588" w:rsidRDefault="00536588" w:rsidP="0053658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_Hlk154317499"/>
      <w:r w:rsidRPr="008779CD">
        <w:rPr>
          <w:rFonts w:ascii="Times New Roman" w:eastAsia="Times New Roman" w:hAnsi="Times New Roman"/>
          <w:sz w:val="28"/>
          <w:szCs w:val="28"/>
          <w:lang w:eastAsia="ru-RU"/>
        </w:rPr>
        <w:t>При температуре не выше 30 °С</w:t>
      </w:r>
      <w:bookmarkEnd w:id="13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C1CFE22" w14:textId="77777777" w:rsidR="00D14D61" w:rsidRPr="00844CE8" w:rsidRDefault="00D14D6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4" w:name="2175220289"/>
      <w:bookmarkEnd w:id="12"/>
    </w:p>
    <w:bookmarkEnd w:id="14"/>
    <w:p w14:paraId="5F4E4108" w14:textId="77777777"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21B236" w14:textId="77777777" w:rsidR="00F545E0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6558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аптек </w:t>
      </w:r>
    </w:p>
    <w:p w14:paraId="1FBEA772" w14:textId="77777777" w:rsidR="00536588" w:rsidRPr="006C6558" w:rsidRDefault="00536588" w:rsidP="0053658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702A947B" w14:textId="77777777" w:rsidR="006C6558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8F2B3F" w14:textId="77777777" w:rsidR="006B7A90" w:rsidRPr="00844CE8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0B7ACD68" w14:textId="77777777" w:rsidR="00536588" w:rsidRPr="00A57441" w:rsidRDefault="00536588" w:rsidP="0053658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>Gland</w:t>
      </w:r>
      <w:r w:rsidRPr="00A57441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>Pharma</w:t>
      </w:r>
      <w:r w:rsidRPr="00A57441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>Limited</w:t>
      </w:r>
      <w:r w:rsidRPr="00A57441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14:paraId="0126C722" w14:textId="77777777" w:rsidR="00536588" w:rsidRPr="008779CD" w:rsidRDefault="00536588" w:rsidP="0053658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lastRenderedPageBreak/>
        <w:t xml:space="preserve">Sy No. 143-148, 150 &amp; 151, Near </w:t>
      </w:r>
      <w:proofErr w:type="spellStart"/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>Gandimaisamma</w:t>
      </w:r>
      <w:proofErr w:type="spellEnd"/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 xml:space="preserve"> Cross Roads, D.P. Pally, </w:t>
      </w:r>
      <w:proofErr w:type="spellStart"/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>Dundigal</w:t>
      </w:r>
      <w:proofErr w:type="spellEnd"/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 xml:space="preserve"> Post, </w:t>
      </w:r>
      <w:proofErr w:type="spellStart"/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>Dundigal</w:t>
      </w:r>
      <w:proofErr w:type="spellEnd"/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 xml:space="preserve"> – </w:t>
      </w:r>
      <w:proofErr w:type="spellStart"/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>Gandimaisamma</w:t>
      </w:r>
      <w:proofErr w:type="spellEnd"/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 xml:space="preserve"> Mandal, </w:t>
      </w:r>
      <w:proofErr w:type="spellStart"/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>Medchal</w:t>
      </w:r>
      <w:proofErr w:type="spellEnd"/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 xml:space="preserve"> – </w:t>
      </w:r>
      <w:proofErr w:type="spellStart"/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>Malkajgiri</w:t>
      </w:r>
      <w:proofErr w:type="spellEnd"/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 xml:space="preserve"> District, Hyderabad</w:t>
      </w:r>
      <w:r>
        <w:rPr>
          <w:rFonts w:ascii="Times New Roman" w:hAnsi="Times New Roman"/>
          <w:color w:val="000000"/>
          <w:sz w:val="28"/>
          <w:szCs w:val="24"/>
          <w:lang w:val="en-US"/>
        </w:rPr>
        <w:t>/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Хайдерабад</w:t>
      </w:r>
      <w:proofErr w:type="spellEnd"/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 xml:space="preserve"> – 500 043, Telangana, </w:t>
      </w:r>
      <w:r w:rsidRPr="008779CD">
        <w:rPr>
          <w:rFonts w:ascii="Times New Roman" w:hAnsi="Times New Roman"/>
          <w:color w:val="000000"/>
          <w:sz w:val="28"/>
          <w:szCs w:val="24"/>
        </w:rPr>
        <w:t>Индия</w:t>
      </w:r>
    </w:p>
    <w:p w14:paraId="47B2073E" w14:textId="77777777" w:rsidR="00536588" w:rsidRPr="008779CD" w:rsidRDefault="00536588" w:rsidP="0053658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779CD">
        <w:rPr>
          <w:rFonts w:ascii="Times New Roman" w:hAnsi="Times New Roman"/>
          <w:color w:val="000000"/>
          <w:sz w:val="28"/>
          <w:szCs w:val="24"/>
        </w:rPr>
        <w:t xml:space="preserve">тел. </w:t>
      </w:r>
      <w:r w:rsidR="00C9670B" w:rsidRPr="00C9670B">
        <w:rPr>
          <w:rFonts w:ascii="Times New Roman" w:hAnsi="Times New Roman"/>
          <w:color w:val="000000"/>
          <w:sz w:val="28"/>
          <w:szCs w:val="24"/>
        </w:rPr>
        <w:t>+91-40-30510999</w:t>
      </w:r>
      <w:r w:rsidRPr="008779CD">
        <w:rPr>
          <w:rFonts w:ascii="Times New Roman" w:hAnsi="Times New Roman"/>
          <w:color w:val="000000"/>
          <w:sz w:val="28"/>
          <w:szCs w:val="24"/>
        </w:rPr>
        <w:t xml:space="preserve">, факс </w:t>
      </w:r>
      <w:r w:rsidR="00C9670B">
        <w:rPr>
          <w:rFonts w:ascii="Times New Roman" w:hAnsi="Times New Roman"/>
          <w:color w:val="000000"/>
          <w:sz w:val="28"/>
          <w:szCs w:val="24"/>
        </w:rPr>
        <w:t>+</w:t>
      </w:r>
      <w:r w:rsidR="00C9670B" w:rsidRPr="00C9670B">
        <w:rPr>
          <w:rFonts w:ascii="Times New Roman" w:hAnsi="Times New Roman"/>
          <w:color w:val="000000"/>
          <w:sz w:val="28"/>
          <w:szCs w:val="24"/>
        </w:rPr>
        <w:t>91-40-30510810</w:t>
      </w:r>
    </w:p>
    <w:p w14:paraId="13CCAF97" w14:textId="77777777" w:rsidR="00536588" w:rsidRPr="008779CD" w:rsidRDefault="00536588" w:rsidP="0053658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779CD">
        <w:rPr>
          <w:rFonts w:ascii="Times New Roman" w:hAnsi="Times New Roman"/>
          <w:color w:val="000000"/>
          <w:sz w:val="28"/>
          <w:szCs w:val="24"/>
        </w:rPr>
        <w:t xml:space="preserve">электронный адрес </w:t>
      </w:r>
      <w:hyperlink r:id="rId9" w:history="1">
        <w:r w:rsidRPr="008779CD">
          <w:rPr>
            <w:rStyle w:val="af"/>
            <w:rFonts w:ascii="Times New Roman" w:hAnsi="Times New Roman"/>
            <w:sz w:val="28"/>
            <w:szCs w:val="24"/>
          </w:rPr>
          <w:t>gland@glandpharma.com</w:t>
        </w:r>
      </w:hyperlink>
    </w:p>
    <w:p w14:paraId="2E78FF89" w14:textId="77777777" w:rsidR="00DC33F0" w:rsidRPr="00536588" w:rsidRDefault="00DC33F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2EFEFC7" w14:textId="77777777" w:rsidR="00D76048" w:rsidRPr="00844CE8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79CE8A4B" w14:textId="77777777" w:rsidR="00536588" w:rsidRDefault="00536588" w:rsidP="00536588">
      <w:pPr>
        <w:pStyle w:val="21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8779CD">
        <w:rPr>
          <w:rFonts w:ascii="Times New Roman" w:hAnsi="Times New Roman"/>
          <w:color w:val="000000"/>
          <w:sz w:val="28"/>
          <w:szCs w:val="24"/>
        </w:rPr>
        <w:t>ТОО «</w:t>
      </w:r>
      <w:proofErr w:type="spellStart"/>
      <w:r w:rsidRPr="008779CD">
        <w:rPr>
          <w:rFonts w:ascii="Times New Roman" w:hAnsi="Times New Roman"/>
          <w:color w:val="000000"/>
          <w:sz w:val="28"/>
          <w:szCs w:val="24"/>
        </w:rPr>
        <w:t>Rogers</w:t>
      </w:r>
      <w:proofErr w:type="spellEnd"/>
      <w:r w:rsidRPr="008779CD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8779CD">
        <w:rPr>
          <w:rFonts w:ascii="Times New Roman" w:hAnsi="Times New Roman"/>
          <w:color w:val="000000"/>
          <w:sz w:val="28"/>
          <w:szCs w:val="24"/>
        </w:rPr>
        <w:t>Pharma</w:t>
      </w:r>
      <w:proofErr w:type="spellEnd"/>
      <w:r w:rsidRPr="008779CD">
        <w:rPr>
          <w:rFonts w:ascii="Times New Roman" w:hAnsi="Times New Roman"/>
          <w:color w:val="000000"/>
          <w:sz w:val="28"/>
          <w:szCs w:val="24"/>
        </w:rPr>
        <w:t>», Казахстан</w:t>
      </w:r>
    </w:p>
    <w:p w14:paraId="039C59C2" w14:textId="77777777" w:rsidR="00536588" w:rsidRPr="008779CD" w:rsidRDefault="00536588" w:rsidP="00536588">
      <w:pPr>
        <w:pStyle w:val="21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8779CD">
        <w:rPr>
          <w:rFonts w:ascii="Times New Roman" w:hAnsi="Times New Roman"/>
          <w:color w:val="000000"/>
          <w:sz w:val="28"/>
          <w:szCs w:val="24"/>
        </w:rPr>
        <w:t xml:space="preserve">050043, г. Алматы, мкн. </w:t>
      </w:r>
      <w:proofErr w:type="spellStart"/>
      <w:r w:rsidRPr="008779CD">
        <w:rPr>
          <w:rFonts w:ascii="Times New Roman" w:hAnsi="Times New Roman"/>
          <w:color w:val="000000"/>
          <w:sz w:val="28"/>
          <w:szCs w:val="24"/>
        </w:rPr>
        <w:t>Мирас</w:t>
      </w:r>
      <w:proofErr w:type="spellEnd"/>
      <w:r w:rsidRPr="008779CD">
        <w:rPr>
          <w:rFonts w:ascii="Times New Roman" w:hAnsi="Times New Roman"/>
          <w:color w:val="000000"/>
          <w:sz w:val="28"/>
          <w:szCs w:val="24"/>
        </w:rPr>
        <w:t xml:space="preserve">, 157, </w:t>
      </w:r>
      <w:proofErr w:type="spellStart"/>
      <w:r w:rsidRPr="008779CD">
        <w:rPr>
          <w:rFonts w:ascii="Times New Roman" w:hAnsi="Times New Roman"/>
          <w:color w:val="000000"/>
          <w:sz w:val="28"/>
          <w:szCs w:val="24"/>
        </w:rPr>
        <w:t>н.п</w:t>
      </w:r>
      <w:proofErr w:type="spellEnd"/>
      <w:r w:rsidRPr="008779CD">
        <w:rPr>
          <w:rFonts w:ascii="Times New Roman" w:hAnsi="Times New Roman"/>
          <w:color w:val="000000"/>
          <w:sz w:val="28"/>
          <w:szCs w:val="24"/>
        </w:rPr>
        <w:t>. 819</w:t>
      </w:r>
    </w:p>
    <w:p w14:paraId="202C1A5B" w14:textId="77777777" w:rsidR="00536588" w:rsidRPr="00A57441" w:rsidRDefault="00536588" w:rsidP="00536588">
      <w:pPr>
        <w:pStyle w:val="21"/>
        <w:spacing w:after="0" w:line="240" w:lineRule="auto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8779CD">
        <w:rPr>
          <w:rFonts w:ascii="Times New Roman" w:hAnsi="Times New Roman"/>
          <w:color w:val="000000"/>
          <w:sz w:val="28"/>
          <w:szCs w:val="24"/>
        </w:rPr>
        <w:t>Тел</w:t>
      </w:r>
      <w:r w:rsidRPr="00A57441">
        <w:rPr>
          <w:rFonts w:ascii="Times New Roman" w:hAnsi="Times New Roman"/>
          <w:color w:val="000000"/>
          <w:sz w:val="28"/>
          <w:szCs w:val="24"/>
          <w:lang w:val="en-US"/>
        </w:rPr>
        <w:t xml:space="preserve">. +7 (727) 311-81-96/97, </w:t>
      </w:r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>e</w:t>
      </w:r>
      <w:r w:rsidRPr="00A57441">
        <w:rPr>
          <w:rFonts w:ascii="Times New Roman" w:hAnsi="Times New Roman"/>
          <w:color w:val="000000"/>
          <w:sz w:val="28"/>
          <w:szCs w:val="24"/>
          <w:lang w:val="en-US"/>
        </w:rPr>
        <w:t>-</w:t>
      </w:r>
      <w:r w:rsidRPr="008779CD">
        <w:rPr>
          <w:rFonts w:ascii="Times New Roman" w:hAnsi="Times New Roman"/>
          <w:color w:val="000000"/>
          <w:sz w:val="28"/>
          <w:szCs w:val="24"/>
          <w:lang w:val="en-US"/>
        </w:rPr>
        <w:t>mail</w:t>
      </w:r>
      <w:r w:rsidRPr="00A57441">
        <w:rPr>
          <w:rFonts w:ascii="Times New Roman" w:hAnsi="Times New Roman"/>
          <w:color w:val="000000"/>
          <w:sz w:val="28"/>
          <w:szCs w:val="24"/>
          <w:lang w:val="en-US"/>
        </w:rPr>
        <w:t xml:space="preserve">: </w:t>
      </w:r>
      <w:hyperlink r:id="rId10" w:history="1">
        <w:r w:rsidRPr="008779CD">
          <w:rPr>
            <w:rStyle w:val="af"/>
            <w:rFonts w:ascii="Times New Roman" w:hAnsi="Times New Roman"/>
            <w:sz w:val="28"/>
            <w:szCs w:val="24"/>
            <w:lang w:val="en-US"/>
          </w:rPr>
          <w:t>office</w:t>
        </w:r>
        <w:r w:rsidRPr="00A57441">
          <w:rPr>
            <w:rStyle w:val="af"/>
            <w:rFonts w:ascii="Times New Roman" w:hAnsi="Times New Roman"/>
            <w:sz w:val="28"/>
            <w:szCs w:val="24"/>
            <w:lang w:val="en-US"/>
          </w:rPr>
          <w:t>.</w:t>
        </w:r>
        <w:r w:rsidRPr="008779CD">
          <w:rPr>
            <w:rStyle w:val="af"/>
            <w:rFonts w:ascii="Times New Roman" w:hAnsi="Times New Roman"/>
            <w:sz w:val="28"/>
            <w:szCs w:val="24"/>
            <w:lang w:val="en-US"/>
          </w:rPr>
          <w:t>secretary</w:t>
        </w:r>
        <w:r w:rsidRPr="00A57441">
          <w:rPr>
            <w:rStyle w:val="af"/>
            <w:rFonts w:ascii="Times New Roman" w:hAnsi="Times New Roman"/>
            <w:sz w:val="28"/>
            <w:szCs w:val="24"/>
            <w:lang w:val="en-US"/>
          </w:rPr>
          <w:t>@</w:t>
        </w:r>
        <w:r w:rsidRPr="008779CD">
          <w:rPr>
            <w:rStyle w:val="af"/>
            <w:rFonts w:ascii="Times New Roman" w:hAnsi="Times New Roman"/>
            <w:sz w:val="28"/>
            <w:szCs w:val="24"/>
            <w:lang w:val="en-US"/>
          </w:rPr>
          <w:t>rogersgroup</w:t>
        </w:r>
        <w:r w:rsidRPr="00A57441">
          <w:rPr>
            <w:rStyle w:val="af"/>
            <w:rFonts w:ascii="Times New Roman" w:hAnsi="Times New Roman"/>
            <w:sz w:val="28"/>
            <w:szCs w:val="24"/>
            <w:lang w:val="en-US"/>
          </w:rPr>
          <w:t>.</w:t>
        </w:r>
        <w:r w:rsidRPr="008779CD">
          <w:rPr>
            <w:rStyle w:val="af"/>
            <w:rFonts w:ascii="Times New Roman" w:hAnsi="Times New Roman"/>
            <w:sz w:val="28"/>
            <w:szCs w:val="24"/>
            <w:lang w:val="en-US"/>
          </w:rPr>
          <w:t>in</w:t>
        </w:r>
      </w:hyperlink>
    </w:p>
    <w:p w14:paraId="56FBD559" w14:textId="77777777" w:rsidR="00C91310" w:rsidRPr="00A57441" w:rsidRDefault="00C91310" w:rsidP="00891711">
      <w:pPr>
        <w:pStyle w:val="21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en-US"/>
        </w:rPr>
      </w:pPr>
    </w:p>
    <w:p w14:paraId="16348B54" w14:textId="77777777" w:rsidR="001010C5" w:rsidRPr="007317C7" w:rsidRDefault="001010C5" w:rsidP="001010C5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 w:rsidRPr="007317C7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7317C7">
        <w:rPr>
          <w:rFonts w:ascii="Times New Roman" w:hAnsi="Times New Roman"/>
          <w:b/>
          <w:iCs/>
          <w:sz w:val="28"/>
          <w:szCs w:val="28"/>
        </w:rPr>
        <w:t xml:space="preserve">на территории Республики Казахстан, принимающей претензии (предложения)  по качеству лекарственных  средств  от потребителей </w:t>
      </w:r>
    </w:p>
    <w:p w14:paraId="78D1E0BE" w14:textId="77777777" w:rsidR="001010C5" w:rsidRPr="007317C7" w:rsidRDefault="001010C5" w:rsidP="001010C5">
      <w:pPr>
        <w:pStyle w:val="ac"/>
        <w:rPr>
          <w:rFonts w:ascii="Times New Roman" w:hAnsi="Times New Roman"/>
          <w:sz w:val="28"/>
          <w:szCs w:val="28"/>
          <w:lang w:val="kk-KZ"/>
        </w:rPr>
      </w:pPr>
      <w:r w:rsidRPr="007317C7">
        <w:rPr>
          <w:rFonts w:ascii="Times New Roman" w:hAnsi="Times New Roman"/>
          <w:sz w:val="28"/>
          <w:szCs w:val="28"/>
          <w:lang w:val="kk-KZ"/>
        </w:rPr>
        <w:t>ТОО «Rogers Pharma»</w:t>
      </w:r>
    </w:p>
    <w:p w14:paraId="26A7C0F3" w14:textId="77777777" w:rsidR="001010C5" w:rsidRPr="007317C7" w:rsidRDefault="001010C5" w:rsidP="001010C5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  <w:lang w:val="kk-KZ"/>
        </w:rPr>
        <w:t xml:space="preserve">г. Алматы, мкн. Мирас, </w:t>
      </w:r>
      <w:r w:rsidRPr="007317C7">
        <w:rPr>
          <w:rFonts w:ascii="Times New Roman" w:hAnsi="Times New Roman"/>
          <w:color w:val="000000"/>
          <w:sz w:val="28"/>
          <w:szCs w:val="28"/>
        </w:rPr>
        <w:t xml:space="preserve">д.157, </w:t>
      </w:r>
      <w:proofErr w:type="spellStart"/>
      <w:r w:rsidRPr="007317C7"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 w:rsidRPr="007317C7">
        <w:rPr>
          <w:rFonts w:ascii="Times New Roman" w:hAnsi="Times New Roman"/>
          <w:color w:val="000000"/>
          <w:sz w:val="28"/>
          <w:szCs w:val="28"/>
        </w:rPr>
        <w:t xml:space="preserve">. 819.  Тел. +7 (727) 311-81-96/97, электронный адрес: </w:t>
      </w:r>
      <w:hyperlink r:id="rId11" w:history="1">
        <w:r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office</w:t>
        </w:r>
        <w:r w:rsidRPr="007317C7">
          <w:rPr>
            <w:rStyle w:val="af"/>
            <w:rFonts w:ascii="Times New Roman" w:hAnsi="Times New Roman"/>
            <w:sz w:val="28"/>
            <w:szCs w:val="28"/>
          </w:rPr>
          <w:t>.</w:t>
        </w:r>
        <w:r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secretary</w:t>
        </w:r>
        <w:r w:rsidRPr="007317C7">
          <w:rPr>
            <w:rStyle w:val="af"/>
            <w:rFonts w:ascii="Times New Roman" w:hAnsi="Times New Roman"/>
            <w:sz w:val="28"/>
            <w:szCs w:val="28"/>
          </w:rPr>
          <w:t>@</w:t>
        </w:r>
        <w:proofErr w:type="spellStart"/>
        <w:r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rogersgroup</w:t>
        </w:r>
        <w:proofErr w:type="spellEnd"/>
        <w:r w:rsidRPr="007317C7">
          <w:rPr>
            <w:rStyle w:val="af"/>
            <w:rFonts w:ascii="Times New Roman" w:hAnsi="Times New Roman"/>
            <w:sz w:val="28"/>
            <w:szCs w:val="28"/>
          </w:rPr>
          <w:t>.</w:t>
        </w:r>
        <w:r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0CA201B9" w14:textId="77777777" w:rsidR="001010C5" w:rsidRPr="007317C7" w:rsidRDefault="001010C5" w:rsidP="001010C5">
      <w:pPr>
        <w:pStyle w:val="ac"/>
        <w:rPr>
          <w:rFonts w:ascii="Times New Roman" w:hAnsi="Times New Roman"/>
          <w:sz w:val="28"/>
          <w:szCs w:val="28"/>
        </w:rPr>
      </w:pPr>
    </w:p>
    <w:p w14:paraId="3E28C8B6" w14:textId="77777777" w:rsidR="001010C5" w:rsidRPr="007317C7" w:rsidRDefault="001010C5" w:rsidP="001010C5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 w:rsidRPr="007317C7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7317C7">
        <w:rPr>
          <w:rFonts w:ascii="Times New Roman" w:hAnsi="Times New Roman"/>
          <w:b/>
          <w:iCs/>
          <w:sz w:val="28"/>
          <w:szCs w:val="28"/>
        </w:rPr>
        <w:t xml:space="preserve">на территории Республики Казахстан, </w:t>
      </w:r>
      <w:proofErr w:type="spellStart"/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>ответственной</w:t>
      </w:r>
      <w:proofErr w:type="spellEnd"/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>пострегистрационное</w:t>
      </w:r>
      <w:proofErr w:type="spellEnd"/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>наблюдение</w:t>
      </w:r>
      <w:proofErr w:type="spellEnd"/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>безопасностью</w:t>
      </w:r>
      <w:proofErr w:type="spellEnd"/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>лекарственного</w:t>
      </w:r>
      <w:proofErr w:type="spellEnd"/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>средства</w:t>
      </w:r>
      <w:proofErr w:type="spellEnd"/>
      <w:r w:rsidRPr="007317C7">
        <w:rPr>
          <w:rFonts w:ascii="Times New Roman" w:hAnsi="Times New Roman"/>
          <w:b/>
          <w:sz w:val="28"/>
          <w:szCs w:val="28"/>
          <w:lang w:val="de-DE" w:eastAsia="de-DE"/>
        </w:rPr>
        <w:t xml:space="preserve"> </w:t>
      </w:r>
    </w:p>
    <w:p w14:paraId="3DA8B1EE" w14:textId="77777777" w:rsidR="00581E80" w:rsidRDefault="001010C5" w:rsidP="001010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ТОО «</w:t>
      </w:r>
      <w:r>
        <w:rPr>
          <w:rFonts w:ascii="Times New Roman" w:hAnsi="Times New Roman"/>
          <w:sz w:val="28"/>
          <w:szCs w:val="28"/>
          <w:lang w:val="en-US"/>
        </w:rPr>
        <w:t>Rogers</w:t>
      </w:r>
      <w:r w:rsidRPr="00E31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Pharma</w:t>
      </w:r>
      <w:r>
        <w:rPr>
          <w:rFonts w:ascii="Times New Roman" w:hAnsi="Times New Roman"/>
          <w:sz w:val="28"/>
          <w:szCs w:val="28"/>
        </w:rPr>
        <w:t xml:space="preserve">», Казахстан, 050043, </w:t>
      </w:r>
    </w:p>
    <w:p w14:paraId="0BBEB9B3" w14:textId="77777777" w:rsidR="001010C5" w:rsidRDefault="001010C5" w:rsidP="001010C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г. Алматы, мкн. </w:t>
      </w:r>
      <w:proofErr w:type="spellStart"/>
      <w:r>
        <w:rPr>
          <w:rFonts w:ascii="Times New Roman" w:hAnsi="Times New Roman"/>
          <w:sz w:val="28"/>
          <w:szCs w:val="28"/>
        </w:rPr>
        <w:t>Мирас</w:t>
      </w:r>
      <w:proofErr w:type="spellEnd"/>
      <w:r>
        <w:rPr>
          <w:rFonts w:ascii="Times New Roman" w:hAnsi="Times New Roman"/>
          <w:sz w:val="28"/>
          <w:szCs w:val="28"/>
        </w:rPr>
        <w:t xml:space="preserve">, д.157, блок 2,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 819.</w:t>
      </w:r>
    </w:p>
    <w:p w14:paraId="2EE6D162" w14:textId="77777777" w:rsidR="001010C5" w:rsidRDefault="001010C5" w:rsidP="001010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Тел. (727) 311-81-96/97, </w:t>
      </w:r>
    </w:p>
    <w:p w14:paraId="67FB6FC5" w14:textId="77777777" w:rsidR="001010C5" w:rsidRDefault="001010C5" w:rsidP="001010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с 24-х часовой доступностью: +7</w:t>
      </w:r>
      <w:r w:rsidR="0018017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747</w:t>
      </w:r>
      <w:r w:rsidR="0018017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991</w:t>
      </w:r>
      <w:r w:rsidR="00180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</w:t>
      </w:r>
      <w:r w:rsidR="00180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04, </w:t>
      </w:r>
    </w:p>
    <w:p w14:paraId="33FBCA3C" w14:textId="77777777" w:rsidR="001010C5" w:rsidRPr="00E31C76" w:rsidRDefault="001010C5" w:rsidP="001010C5">
      <w:pPr>
        <w:spacing w:after="0" w:line="240" w:lineRule="auto"/>
        <w:rPr>
          <w:rFonts w:cs="Calibri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12" w:history="1">
        <w:r>
          <w:rPr>
            <w:rStyle w:val="af"/>
            <w:rFonts w:ascii="Times New Roman" w:hAnsi="Times New Roman"/>
            <w:sz w:val="28"/>
            <w:szCs w:val="28"/>
            <w:lang w:val="en-US"/>
          </w:rPr>
          <w:t>irina.volovnikova@gmail.com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hyperlink r:id="rId13" w:history="1">
        <w:r>
          <w:rPr>
            <w:rStyle w:val="af"/>
            <w:rFonts w:ascii="Times New Roman" w:hAnsi="Times New Roman"/>
            <w:sz w:val="28"/>
            <w:szCs w:val="28"/>
            <w:lang w:val="en-US"/>
          </w:rPr>
          <w:t>pharmacovigilance@rogerspharma.kz</w:t>
        </w:r>
      </w:hyperlink>
      <w:r>
        <w:rPr>
          <w:rFonts w:ascii="Times New Roman" w:hAnsi="Times New Roman"/>
          <w:sz w:val="28"/>
          <w:szCs w:val="28"/>
          <w:lang w:val="en-US"/>
        </w:rPr>
        <w:t>    </w:t>
      </w:r>
    </w:p>
    <w:p w14:paraId="5D8A2853" w14:textId="77777777" w:rsidR="00844CE8" w:rsidRPr="001010C5" w:rsidRDefault="00844CE8" w:rsidP="001010C5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</w:p>
    <w:p w14:paraId="1839F1C4" w14:textId="23145BC5" w:rsidR="00007C76" w:rsidRDefault="00007C76"/>
    <w:sectPr w:rsidR="00007C76" w:rsidSect="00F97B57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0E5E" w14:textId="77777777" w:rsidR="00E23413" w:rsidRDefault="00E23413" w:rsidP="00D275FC">
      <w:pPr>
        <w:spacing w:after="0" w:line="240" w:lineRule="auto"/>
      </w:pPr>
      <w:r>
        <w:separator/>
      </w:r>
    </w:p>
  </w:endnote>
  <w:endnote w:type="continuationSeparator" w:id="0">
    <w:p w14:paraId="67D2F34F" w14:textId="77777777" w:rsidR="00E23413" w:rsidRDefault="00E23413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B549" w14:textId="77777777" w:rsidR="009D472B" w:rsidRDefault="00E23413"/>
  <w:p w14:paraId="43F58A3C" w14:textId="77777777" w:rsidR="00007C76" w:rsidRDefault="00E23413">
    <w:r>
      <w:rPr>
        <w:rFonts w:ascii="Times New Roman" w:eastAsia="Times New Roman" w:hAnsi="Times New Roman"/>
      </w:rPr>
      <w:t>Решение: N083405</w:t>
    </w:r>
    <w:r>
      <w:rPr>
        <w:rFonts w:ascii="Times New Roman" w:eastAsia="Times New Roman" w:hAnsi="Times New Roman"/>
      </w:rPr>
      <w:br/>
      <w:t>Дата решения: 03.02.2025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</w:t>
    </w:r>
    <w:r>
      <w:rPr>
        <w:rFonts w:ascii="Times New Roman" w:eastAsia="Times New Roman" w:hAnsi="Times New Roman"/>
      </w:rPr>
      <w:t>уполномоченное лицо): Кенжеханова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</w:t>
    </w:r>
    <w:r>
      <w:rPr>
        <w:rFonts w:ascii="Times New Roman" w:eastAsia="Times New Roman" w:hAnsi="Times New Roman"/>
      </w:rPr>
      <w:t>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AFBF" w14:textId="77777777" w:rsidR="009D472B" w:rsidRDefault="00E23413"/>
  <w:p w14:paraId="7A34215A" w14:textId="099B3A33" w:rsidR="00007C76" w:rsidRDefault="00007C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9D94" w14:textId="77777777" w:rsidR="009D472B" w:rsidRDefault="00E23413"/>
  <w:p w14:paraId="509D21EA" w14:textId="77777777" w:rsidR="00007C76" w:rsidRDefault="00E23413">
    <w:r>
      <w:rPr>
        <w:rFonts w:ascii="Times New Roman" w:eastAsia="Times New Roman" w:hAnsi="Times New Roman"/>
      </w:rPr>
      <w:t>Решение: N083405</w:t>
    </w:r>
    <w:r>
      <w:rPr>
        <w:rFonts w:ascii="Times New Roman" w:eastAsia="Times New Roman" w:hAnsi="Times New Roman"/>
      </w:rPr>
      <w:br/>
      <w:t>Дата решения: 03.02.2025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/>
      </w:rPr>
      <w:br/>
      <w:t>(Комитет медицинского и фармацевт</w:t>
    </w:r>
    <w:r>
      <w:rPr>
        <w:rFonts w:ascii="Times New Roman" w:eastAsia="Times New Roman" w:hAnsi="Times New Roman"/>
      </w:rPr>
      <w:t>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740FD" w14:textId="77777777" w:rsidR="00E23413" w:rsidRDefault="00E23413" w:rsidP="00D275FC">
      <w:pPr>
        <w:spacing w:after="0" w:line="240" w:lineRule="auto"/>
      </w:pPr>
      <w:r>
        <w:separator/>
      </w:r>
    </w:p>
  </w:footnote>
  <w:footnote w:type="continuationSeparator" w:id="0">
    <w:p w14:paraId="1F50C435" w14:textId="77777777" w:rsidR="00E23413" w:rsidRDefault="00E23413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424A" w14:textId="77777777" w:rsidR="00D275FC" w:rsidRDefault="00617D9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61D93F" wp14:editId="0CD830E4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D84DA1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1D93F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5CD84DA1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7C76"/>
    <w:rsid w:val="00010371"/>
    <w:rsid w:val="000264BB"/>
    <w:rsid w:val="00033FC1"/>
    <w:rsid w:val="00034159"/>
    <w:rsid w:val="00042999"/>
    <w:rsid w:val="00084813"/>
    <w:rsid w:val="000852A1"/>
    <w:rsid w:val="000972E6"/>
    <w:rsid w:val="000A0D71"/>
    <w:rsid w:val="000C2C4B"/>
    <w:rsid w:val="000C4C48"/>
    <w:rsid w:val="000E01AB"/>
    <w:rsid w:val="000E2683"/>
    <w:rsid w:val="000E3F72"/>
    <w:rsid w:val="000E3FEE"/>
    <w:rsid w:val="000E49F0"/>
    <w:rsid w:val="000E6126"/>
    <w:rsid w:val="00100406"/>
    <w:rsid w:val="001010C5"/>
    <w:rsid w:val="00107A8A"/>
    <w:rsid w:val="00111788"/>
    <w:rsid w:val="00132B9A"/>
    <w:rsid w:val="001368AE"/>
    <w:rsid w:val="00144CCD"/>
    <w:rsid w:val="0014739A"/>
    <w:rsid w:val="0015490C"/>
    <w:rsid w:val="001573E2"/>
    <w:rsid w:val="0016278D"/>
    <w:rsid w:val="00180171"/>
    <w:rsid w:val="001937AD"/>
    <w:rsid w:val="001A2CB2"/>
    <w:rsid w:val="001A5CCF"/>
    <w:rsid w:val="001B6AEC"/>
    <w:rsid w:val="001E6F4C"/>
    <w:rsid w:val="001F16AA"/>
    <w:rsid w:val="00203355"/>
    <w:rsid w:val="00211005"/>
    <w:rsid w:val="00214FC9"/>
    <w:rsid w:val="00217D41"/>
    <w:rsid w:val="00222CA6"/>
    <w:rsid w:val="00232642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A591C"/>
    <w:rsid w:val="002B3270"/>
    <w:rsid w:val="002C10E1"/>
    <w:rsid w:val="002C15EB"/>
    <w:rsid w:val="002C1660"/>
    <w:rsid w:val="002C35A2"/>
    <w:rsid w:val="002C5345"/>
    <w:rsid w:val="002C76D7"/>
    <w:rsid w:val="002D56B7"/>
    <w:rsid w:val="002E0BAD"/>
    <w:rsid w:val="002F0ED1"/>
    <w:rsid w:val="002F4A14"/>
    <w:rsid w:val="00302607"/>
    <w:rsid w:val="003043BF"/>
    <w:rsid w:val="00320073"/>
    <w:rsid w:val="003262DF"/>
    <w:rsid w:val="003356B2"/>
    <w:rsid w:val="0036288F"/>
    <w:rsid w:val="00365B10"/>
    <w:rsid w:val="003662F1"/>
    <w:rsid w:val="00367BA7"/>
    <w:rsid w:val="003761C0"/>
    <w:rsid w:val="003812B2"/>
    <w:rsid w:val="00383CDB"/>
    <w:rsid w:val="00384F08"/>
    <w:rsid w:val="003879F9"/>
    <w:rsid w:val="003A035E"/>
    <w:rsid w:val="003B0285"/>
    <w:rsid w:val="003E13CF"/>
    <w:rsid w:val="003F5344"/>
    <w:rsid w:val="003F7EDC"/>
    <w:rsid w:val="00404548"/>
    <w:rsid w:val="0041162E"/>
    <w:rsid w:val="0042786D"/>
    <w:rsid w:val="00433C62"/>
    <w:rsid w:val="00434D01"/>
    <w:rsid w:val="00472EF5"/>
    <w:rsid w:val="0048687C"/>
    <w:rsid w:val="004A31B4"/>
    <w:rsid w:val="004C1922"/>
    <w:rsid w:val="004C462F"/>
    <w:rsid w:val="004D49E9"/>
    <w:rsid w:val="004F692A"/>
    <w:rsid w:val="005071DA"/>
    <w:rsid w:val="00512C02"/>
    <w:rsid w:val="00523D82"/>
    <w:rsid w:val="00536588"/>
    <w:rsid w:val="00541A00"/>
    <w:rsid w:val="005444B2"/>
    <w:rsid w:val="00552F8B"/>
    <w:rsid w:val="00561FE7"/>
    <w:rsid w:val="00575348"/>
    <w:rsid w:val="005779DE"/>
    <w:rsid w:val="00581E80"/>
    <w:rsid w:val="005869C5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EE3"/>
    <w:rsid w:val="005E50DE"/>
    <w:rsid w:val="005F7097"/>
    <w:rsid w:val="0060364A"/>
    <w:rsid w:val="0061650D"/>
    <w:rsid w:val="00617843"/>
    <w:rsid w:val="00617D9F"/>
    <w:rsid w:val="00620F34"/>
    <w:rsid w:val="00624C1B"/>
    <w:rsid w:val="00625471"/>
    <w:rsid w:val="00627853"/>
    <w:rsid w:val="00634D0C"/>
    <w:rsid w:val="00652BCE"/>
    <w:rsid w:val="00652E29"/>
    <w:rsid w:val="00653617"/>
    <w:rsid w:val="006703A5"/>
    <w:rsid w:val="0067136B"/>
    <w:rsid w:val="00691208"/>
    <w:rsid w:val="00693014"/>
    <w:rsid w:val="006A23C4"/>
    <w:rsid w:val="006A702E"/>
    <w:rsid w:val="006B7A90"/>
    <w:rsid w:val="006C577B"/>
    <w:rsid w:val="006C5F38"/>
    <w:rsid w:val="006C6558"/>
    <w:rsid w:val="006D38E4"/>
    <w:rsid w:val="006D5B76"/>
    <w:rsid w:val="006D7D5A"/>
    <w:rsid w:val="006E4305"/>
    <w:rsid w:val="006F5763"/>
    <w:rsid w:val="00704BAB"/>
    <w:rsid w:val="007104D1"/>
    <w:rsid w:val="007135A6"/>
    <w:rsid w:val="00732F32"/>
    <w:rsid w:val="00733A73"/>
    <w:rsid w:val="00735031"/>
    <w:rsid w:val="00736B6C"/>
    <w:rsid w:val="00745CFF"/>
    <w:rsid w:val="00746FF2"/>
    <w:rsid w:val="00761133"/>
    <w:rsid w:val="00764E84"/>
    <w:rsid w:val="007762F8"/>
    <w:rsid w:val="00783520"/>
    <w:rsid w:val="007A02D3"/>
    <w:rsid w:val="007A18B1"/>
    <w:rsid w:val="007C055A"/>
    <w:rsid w:val="007C1693"/>
    <w:rsid w:val="007D0E84"/>
    <w:rsid w:val="007D681B"/>
    <w:rsid w:val="007E1A7B"/>
    <w:rsid w:val="007E1D85"/>
    <w:rsid w:val="007E5B48"/>
    <w:rsid w:val="007E702A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6657B"/>
    <w:rsid w:val="008832E5"/>
    <w:rsid w:val="00891711"/>
    <w:rsid w:val="00897669"/>
    <w:rsid w:val="008C0181"/>
    <w:rsid w:val="008C6E88"/>
    <w:rsid w:val="008D4451"/>
    <w:rsid w:val="008D62B7"/>
    <w:rsid w:val="008E6895"/>
    <w:rsid w:val="00900B3C"/>
    <w:rsid w:val="00904FB5"/>
    <w:rsid w:val="0091136C"/>
    <w:rsid w:val="009157ED"/>
    <w:rsid w:val="00930D7D"/>
    <w:rsid w:val="00947F4E"/>
    <w:rsid w:val="0095047E"/>
    <w:rsid w:val="00956101"/>
    <w:rsid w:val="00962CD6"/>
    <w:rsid w:val="00993A60"/>
    <w:rsid w:val="00996191"/>
    <w:rsid w:val="00996F90"/>
    <w:rsid w:val="009B014E"/>
    <w:rsid w:val="009D71D5"/>
    <w:rsid w:val="009E2887"/>
    <w:rsid w:val="009E5CB9"/>
    <w:rsid w:val="009F31F2"/>
    <w:rsid w:val="009F45A5"/>
    <w:rsid w:val="00A01C2E"/>
    <w:rsid w:val="00A02BB2"/>
    <w:rsid w:val="00A04052"/>
    <w:rsid w:val="00A12563"/>
    <w:rsid w:val="00A228A6"/>
    <w:rsid w:val="00A57441"/>
    <w:rsid w:val="00A8185B"/>
    <w:rsid w:val="00AA5E2F"/>
    <w:rsid w:val="00AA7317"/>
    <w:rsid w:val="00AC2C0B"/>
    <w:rsid w:val="00AC4905"/>
    <w:rsid w:val="00AE7922"/>
    <w:rsid w:val="00B01011"/>
    <w:rsid w:val="00B11878"/>
    <w:rsid w:val="00B46F30"/>
    <w:rsid w:val="00B608C1"/>
    <w:rsid w:val="00B60D3D"/>
    <w:rsid w:val="00B61D95"/>
    <w:rsid w:val="00B9187F"/>
    <w:rsid w:val="00BB3050"/>
    <w:rsid w:val="00BB7831"/>
    <w:rsid w:val="00BC31BC"/>
    <w:rsid w:val="00BC6167"/>
    <w:rsid w:val="00BE4435"/>
    <w:rsid w:val="00BE6B71"/>
    <w:rsid w:val="00C07BB3"/>
    <w:rsid w:val="00C2000E"/>
    <w:rsid w:val="00C379C9"/>
    <w:rsid w:val="00C422B8"/>
    <w:rsid w:val="00C47A40"/>
    <w:rsid w:val="00C566D6"/>
    <w:rsid w:val="00C839ED"/>
    <w:rsid w:val="00C84299"/>
    <w:rsid w:val="00C91310"/>
    <w:rsid w:val="00C92F14"/>
    <w:rsid w:val="00C9308C"/>
    <w:rsid w:val="00C9670B"/>
    <w:rsid w:val="00C97365"/>
    <w:rsid w:val="00CC08BA"/>
    <w:rsid w:val="00CC330A"/>
    <w:rsid w:val="00CC5727"/>
    <w:rsid w:val="00CC7DBD"/>
    <w:rsid w:val="00CE38C0"/>
    <w:rsid w:val="00CF3849"/>
    <w:rsid w:val="00D0233C"/>
    <w:rsid w:val="00D066FC"/>
    <w:rsid w:val="00D11462"/>
    <w:rsid w:val="00D14D61"/>
    <w:rsid w:val="00D22A47"/>
    <w:rsid w:val="00D275FC"/>
    <w:rsid w:val="00D3576E"/>
    <w:rsid w:val="00D43297"/>
    <w:rsid w:val="00D46B0B"/>
    <w:rsid w:val="00D55ED8"/>
    <w:rsid w:val="00D57D5F"/>
    <w:rsid w:val="00D70DB6"/>
    <w:rsid w:val="00D76048"/>
    <w:rsid w:val="00D93C80"/>
    <w:rsid w:val="00D96A8F"/>
    <w:rsid w:val="00DB406A"/>
    <w:rsid w:val="00DC33F0"/>
    <w:rsid w:val="00DF11A7"/>
    <w:rsid w:val="00E03E8D"/>
    <w:rsid w:val="00E23413"/>
    <w:rsid w:val="00E271CB"/>
    <w:rsid w:val="00E34FE3"/>
    <w:rsid w:val="00E55D6C"/>
    <w:rsid w:val="00E57396"/>
    <w:rsid w:val="00E81A1B"/>
    <w:rsid w:val="00E81A86"/>
    <w:rsid w:val="00E8607B"/>
    <w:rsid w:val="00E91073"/>
    <w:rsid w:val="00E93583"/>
    <w:rsid w:val="00EA2F86"/>
    <w:rsid w:val="00EA6D39"/>
    <w:rsid w:val="00EB1D97"/>
    <w:rsid w:val="00EF4C53"/>
    <w:rsid w:val="00EF5698"/>
    <w:rsid w:val="00EF6CC3"/>
    <w:rsid w:val="00EF7AB6"/>
    <w:rsid w:val="00F006F1"/>
    <w:rsid w:val="00F07B7B"/>
    <w:rsid w:val="00F23450"/>
    <w:rsid w:val="00F23B95"/>
    <w:rsid w:val="00F3708F"/>
    <w:rsid w:val="00F40388"/>
    <w:rsid w:val="00F545E0"/>
    <w:rsid w:val="00F63389"/>
    <w:rsid w:val="00F85138"/>
    <w:rsid w:val="00F8747E"/>
    <w:rsid w:val="00F91977"/>
    <w:rsid w:val="00F92ACD"/>
    <w:rsid w:val="00F97B57"/>
    <w:rsid w:val="00FA4F7C"/>
    <w:rsid w:val="00FB0456"/>
    <w:rsid w:val="00FB47F4"/>
    <w:rsid w:val="00FB4C82"/>
    <w:rsid w:val="00FD2B12"/>
    <w:rsid w:val="00FD2B9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60C21"/>
  <w15:docId w15:val="{D3F4F932-765F-4E97-9A36-453F958C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F874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yperlink" Target="mailto:pharmacovigilance@rogerspharma.k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ina.volovnikova@gmail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.secretary@rogersgroup.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office.secretary@rogersgroup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land@glandpharma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29BE2-3DAC-4F30-A63C-1F6E953B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2909</Words>
  <Characters>16584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19455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4</cp:revision>
  <cp:lastPrinted>2018-03-22T06:08:00Z</cp:lastPrinted>
  <dcterms:created xsi:type="dcterms:W3CDTF">2024-12-25T10:19:00Z</dcterms:created>
  <dcterms:modified xsi:type="dcterms:W3CDTF">2025-02-11T07:58:00Z</dcterms:modified>
</cp:coreProperties>
</file>